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8D60FC5" w:rsidR="00E978D0" w:rsidRPr="00665323" w:rsidRDefault="00F35418" w:rsidP="00665323">
      <w:pPr>
        <w:pStyle w:val="CETTitle"/>
      </w:pPr>
      <w:r w:rsidRPr="00F35418">
        <w:lastRenderedPageBreak/>
        <w:t>Safe Management and Risk Evaluation of Pressure Pipes in the Process and Energy Industry</w:t>
      </w:r>
    </w:p>
    <w:p w14:paraId="0488FED2" w14:textId="151DEC6E" w:rsidR="00B57E6F" w:rsidRPr="00F35418" w:rsidRDefault="00F35418" w:rsidP="00B57E6F">
      <w:pPr>
        <w:pStyle w:val="CETAuthors"/>
        <w:rPr>
          <w:lang w:val="it-IT"/>
        </w:rPr>
      </w:pPr>
      <w:r w:rsidRPr="00F35418">
        <w:rPr>
          <w:lang w:val="it-IT"/>
        </w:rPr>
        <w:t>Giovanni Grillone</w:t>
      </w:r>
      <w:r w:rsidRPr="00F35418">
        <w:rPr>
          <w:vertAlign w:val="superscript"/>
          <w:lang w:val="it-IT"/>
        </w:rPr>
        <w:t>a,</w:t>
      </w:r>
      <w:r w:rsidRPr="00F35418">
        <w:rPr>
          <w:lang w:val="it-IT"/>
        </w:rPr>
        <w:t>*,</w:t>
      </w:r>
      <w:r w:rsidR="00E91FE2">
        <w:rPr>
          <w:lang w:val="it-IT"/>
        </w:rPr>
        <w:t xml:space="preserve"> </w:t>
      </w:r>
      <w:r w:rsidRPr="00F35418">
        <w:rPr>
          <w:lang w:val="it-IT"/>
        </w:rPr>
        <w:t>Antonino Muratore</w:t>
      </w:r>
      <w:r w:rsidRPr="00F35418">
        <w:rPr>
          <w:vertAlign w:val="superscript"/>
          <w:lang w:val="it-IT"/>
        </w:rPr>
        <w:t>b</w:t>
      </w:r>
      <w:r w:rsidRPr="00F35418">
        <w:rPr>
          <w:lang w:val="it-IT"/>
        </w:rPr>
        <w:t>, Eleonora Genco</w:t>
      </w:r>
      <w:r w:rsidRPr="00F35418">
        <w:rPr>
          <w:vertAlign w:val="superscript"/>
          <w:lang w:val="it-IT"/>
        </w:rPr>
        <w:t>c</w:t>
      </w:r>
      <w:r w:rsidRPr="00F35418">
        <w:rPr>
          <w:lang w:val="it-IT"/>
        </w:rPr>
        <w:t>, Alberto Firenze</w:t>
      </w:r>
      <w:r w:rsidRPr="00F35418">
        <w:rPr>
          <w:vertAlign w:val="superscript"/>
          <w:lang w:val="it-IT"/>
        </w:rPr>
        <w:t>d</w:t>
      </w:r>
      <w:r w:rsidRPr="00F35418">
        <w:rPr>
          <w:lang w:val="it-IT"/>
        </w:rPr>
        <w:t>, Maurilio Bellissimo</w:t>
      </w:r>
      <w:r w:rsidRPr="00F35418">
        <w:rPr>
          <w:vertAlign w:val="superscript"/>
          <w:lang w:val="it-IT"/>
        </w:rPr>
        <w:t>a</w:t>
      </w:r>
      <w:r w:rsidRPr="00F35418">
        <w:rPr>
          <w:lang w:val="it-IT"/>
        </w:rPr>
        <w:t>, Giuseppe Giannelli</w:t>
      </w:r>
      <w:r w:rsidRPr="00F35418">
        <w:rPr>
          <w:vertAlign w:val="superscript"/>
          <w:lang w:val="it-IT"/>
        </w:rPr>
        <w:t>b</w:t>
      </w:r>
      <w:r w:rsidRPr="00F35418">
        <w:rPr>
          <w:lang w:val="it-IT"/>
        </w:rPr>
        <w:t>, Vincenzo Nastasi</w:t>
      </w:r>
      <w:r w:rsidRPr="00F35418">
        <w:rPr>
          <w:vertAlign w:val="superscript"/>
          <w:lang w:val="it-IT"/>
        </w:rPr>
        <w:t>a</w:t>
      </w:r>
    </w:p>
    <w:p w14:paraId="1FDC4205" w14:textId="293A5368" w:rsidR="00F35418" w:rsidRPr="00F35418" w:rsidRDefault="00B57E6F" w:rsidP="00F35418">
      <w:pPr>
        <w:pStyle w:val="CETAddress"/>
        <w:rPr>
          <w:lang w:val="it-IT"/>
        </w:rPr>
      </w:pPr>
      <w:r w:rsidRPr="00F35418">
        <w:rPr>
          <w:vertAlign w:val="superscript"/>
          <w:lang w:val="it-IT"/>
        </w:rPr>
        <w:t>a</w:t>
      </w:r>
      <w:r w:rsidR="00F35418" w:rsidRPr="00F35418">
        <w:rPr>
          <w:lang w:val="it-IT"/>
        </w:rPr>
        <w:t>Inail, UOT Palermo, Viale del Fante 58/D - 90146 Palermo, Italy</w:t>
      </w:r>
    </w:p>
    <w:p w14:paraId="5FDD7349" w14:textId="093DF17C" w:rsidR="00F35418" w:rsidRPr="00F35418" w:rsidRDefault="00F35418" w:rsidP="00F35418">
      <w:pPr>
        <w:pStyle w:val="CETAddress"/>
        <w:rPr>
          <w:lang w:val="it-IT"/>
        </w:rPr>
      </w:pPr>
      <w:r>
        <w:rPr>
          <w:vertAlign w:val="superscript"/>
          <w:lang w:val="it-IT"/>
        </w:rPr>
        <w:t>b</w:t>
      </w:r>
      <w:r w:rsidRPr="00F35418">
        <w:rPr>
          <w:lang w:val="it-IT"/>
        </w:rPr>
        <w:t>Inail, UOT Como, Via Petrarca 4 - 22100 Como, Italy</w:t>
      </w:r>
    </w:p>
    <w:p w14:paraId="4D9C9D92" w14:textId="77777777" w:rsidR="00F35418" w:rsidRPr="00F35418" w:rsidRDefault="00F35418" w:rsidP="00F35418">
      <w:pPr>
        <w:pStyle w:val="CETAddress"/>
        <w:rPr>
          <w:lang w:val="it-IT"/>
        </w:rPr>
      </w:pPr>
      <w:r w:rsidRPr="00F35418">
        <w:rPr>
          <w:vertAlign w:val="superscript"/>
          <w:lang w:val="it-IT"/>
        </w:rPr>
        <w:t>c</w:t>
      </w:r>
      <w:r w:rsidRPr="00F35418">
        <w:rPr>
          <w:lang w:val="it-IT"/>
        </w:rPr>
        <w:t>Università di Palermo, Scuola di Specializzazione in Medicina del Lavoro, Piazza delle Cliniche, 2 - 90127 Palermo, Italy</w:t>
      </w:r>
    </w:p>
    <w:p w14:paraId="0C55D304" w14:textId="77777777" w:rsidR="00F35418" w:rsidRPr="00F35418" w:rsidRDefault="00F35418" w:rsidP="00F35418">
      <w:pPr>
        <w:pStyle w:val="CETAddress"/>
        <w:rPr>
          <w:lang w:val="it-IT"/>
        </w:rPr>
      </w:pPr>
      <w:r w:rsidRPr="00F35418">
        <w:rPr>
          <w:vertAlign w:val="superscript"/>
          <w:lang w:val="it-IT"/>
        </w:rPr>
        <w:t>d</w:t>
      </w:r>
      <w:r w:rsidRPr="00F35418">
        <w:rPr>
          <w:lang w:val="it-IT"/>
        </w:rPr>
        <w:t>Università di Palermo, Dipartimento della Promozione della Salute, Materno-Infantile, di Medicina Interna e Specialistica di Eccellenza “G. D’Alessandro” (PROMISE), Piazza delle Cliniche, 2 - 90127 Palermo, Italy</w:t>
      </w:r>
    </w:p>
    <w:p w14:paraId="06304E89" w14:textId="21AC73B9" w:rsidR="00F35418" w:rsidRPr="00B57B36" w:rsidRDefault="00F35418" w:rsidP="00F35418">
      <w:pPr>
        <w:pStyle w:val="CETAddress"/>
      </w:pPr>
      <w:r>
        <w:t>*g.grillone@inail.it</w:t>
      </w:r>
    </w:p>
    <w:p w14:paraId="724B3F0E" w14:textId="77777777" w:rsidR="00F35418" w:rsidRDefault="00F35418" w:rsidP="00600535">
      <w:pPr>
        <w:pStyle w:val="CETBodytext"/>
        <w:rPr>
          <w:lang w:val="en-GB"/>
        </w:rPr>
      </w:pPr>
    </w:p>
    <w:p w14:paraId="1333FF43" w14:textId="77777777" w:rsidR="00F35418" w:rsidRPr="00F35418" w:rsidRDefault="00F35418" w:rsidP="00F35418">
      <w:pPr>
        <w:pStyle w:val="CETBodytext"/>
        <w:rPr>
          <w:lang w:val="en-GB"/>
        </w:rPr>
      </w:pPr>
      <w:bookmarkStart w:id="0" w:name="_Hlk495475023"/>
      <w:r w:rsidRPr="00F35418">
        <w:rPr>
          <w:lang w:val="en-GB"/>
        </w:rPr>
        <w:t>Process and energy industries include chemical plants, oil refineries and bio-refineries, power plants, etc., in which a variety of pressure equipment/assemblies are located (steam generators, reactors, heat exchangers, pressure tanks, etc.), which use a very wide range of flammable and/or toxic substances.</w:t>
      </w:r>
    </w:p>
    <w:p w14:paraId="4CD45D4B" w14:textId="77777777" w:rsidR="00F35418" w:rsidRPr="00F35418" w:rsidRDefault="00F35418" w:rsidP="00F35418">
      <w:pPr>
        <w:pStyle w:val="CETBodytext"/>
        <w:rPr>
          <w:lang w:val="en-GB"/>
        </w:rPr>
      </w:pPr>
      <w:r w:rsidRPr="00F35418">
        <w:rPr>
          <w:lang w:val="en-GB"/>
        </w:rPr>
        <w:t>This equipment has historically been controlled, both during construction and operation, while the pressure pipes were considered potentially "dangerous" by the legislation only with the entry into force of the first European Directive 97/23/CE (PED Directive) and the European Directive 2014/68/EU, which modifies and integrates the previous one.</w:t>
      </w:r>
    </w:p>
    <w:p w14:paraId="0A0BE9AE" w14:textId="521E6024" w:rsidR="00F35418" w:rsidRPr="00F35418" w:rsidRDefault="00F35418" w:rsidP="00F35418">
      <w:pPr>
        <w:pStyle w:val="CETBodytext"/>
        <w:rPr>
          <w:lang w:val="en-GB"/>
        </w:rPr>
      </w:pPr>
      <w:r w:rsidRPr="00F35418">
        <w:rPr>
          <w:lang w:val="en-GB"/>
        </w:rPr>
        <w:t xml:space="preserve">The PED directive introduced pressure pipes because they very often cause triggering of accidental events (fires, explosions, toxic releases), involving successively important pressure equipment (steam generators, reactors, heat exchangers, pressure tanks, </w:t>
      </w:r>
      <w:r w:rsidR="00FD667C" w:rsidRPr="00F35418">
        <w:rPr>
          <w:lang w:val="en-GB"/>
        </w:rPr>
        <w:t>etc.</w:t>
      </w:r>
      <w:r w:rsidRPr="00F35418">
        <w:rPr>
          <w:lang w:val="en-GB"/>
        </w:rPr>
        <w:t>).</w:t>
      </w:r>
    </w:p>
    <w:p w14:paraId="06106D1D" w14:textId="77777777" w:rsidR="00F35418" w:rsidRPr="00F35418" w:rsidRDefault="00F35418" w:rsidP="00F35418">
      <w:pPr>
        <w:pStyle w:val="CETBodytext"/>
        <w:rPr>
          <w:lang w:val="en-GB"/>
        </w:rPr>
      </w:pPr>
      <w:r w:rsidRPr="00F35418">
        <w:rPr>
          <w:lang w:val="en-GB"/>
        </w:rPr>
        <w:t>Pressure pipes must be particularly monitored and maintained in Seveso establishments (Seveso Directive - 2012/18/EU).</w:t>
      </w:r>
    </w:p>
    <w:p w14:paraId="2FC3E5FC" w14:textId="630FD33F" w:rsidR="00F35418" w:rsidRPr="00F35418" w:rsidRDefault="00F35418" w:rsidP="00D3000E">
      <w:pPr>
        <w:pStyle w:val="CETBodytext"/>
        <w:rPr>
          <w:lang w:val="en-GB"/>
        </w:rPr>
      </w:pPr>
      <w:r w:rsidRPr="00F35418">
        <w:rPr>
          <w:lang w:val="en-GB"/>
        </w:rPr>
        <w:t>In this pa</w:t>
      </w:r>
      <w:r w:rsidR="00D6598F">
        <w:rPr>
          <w:lang w:val="en-GB"/>
        </w:rPr>
        <w:t xml:space="preserve">per authors suggest to the </w:t>
      </w:r>
      <w:r w:rsidRPr="00F35418">
        <w:rPr>
          <w:lang w:val="en-GB"/>
        </w:rPr>
        <w:t xml:space="preserve">employer an operational framework for the safe management of </w:t>
      </w:r>
      <w:r w:rsidR="00ED1F02">
        <w:rPr>
          <w:lang w:val="en-GB"/>
        </w:rPr>
        <w:t xml:space="preserve">residual risks of </w:t>
      </w:r>
      <w:r w:rsidRPr="00F35418">
        <w:rPr>
          <w:lang w:val="en-GB"/>
        </w:rPr>
        <w:t>pressure pipes</w:t>
      </w:r>
      <w:r w:rsidR="00D3000E">
        <w:rPr>
          <w:lang w:val="en-GB"/>
        </w:rPr>
        <w:t>,</w:t>
      </w:r>
      <w:r w:rsidR="00ED1F02">
        <w:rPr>
          <w:lang w:val="en-GB"/>
        </w:rPr>
        <w:t xml:space="preserve"> during</w:t>
      </w:r>
      <w:r w:rsidRPr="00F35418">
        <w:rPr>
          <w:lang w:val="en-GB"/>
        </w:rPr>
        <w:t xml:space="preserve"> operat</w:t>
      </w:r>
      <w:r w:rsidR="00D3000E">
        <w:rPr>
          <w:lang w:val="en-GB"/>
        </w:rPr>
        <w:t>ing</w:t>
      </w:r>
      <w:r w:rsidR="00ED1F02">
        <w:rPr>
          <w:lang w:val="en-GB"/>
        </w:rPr>
        <w:t xml:space="preserve"> phase</w:t>
      </w:r>
      <w:r w:rsidR="00D3000E">
        <w:rPr>
          <w:lang w:val="en-GB"/>
        </w:rPr>
        <w:t xml:space="preserve">, </w:t>
      </w:r>
      <w:r w:rsidRPr="00F35418">
        <w:rPr>
          <w:lang w:val="en-GB"/>
        </w:rPr>
        <w:t>due to the installation, use and/or reasonably foreseeable improper use of the aforementioned pipes are described here, showing an application example.</w:t>
      </w:r>
    </w:p>
    <w:p w14:paraId="16758A9A" w14:textId="7CE7DC09" w:rsidR="00665F3C" w:rsidRDefault="00D3000E" w:rsidP="00F35418">
      <w:pPr>
        <w:pStyle w:val="CETBodytext"/>
        <w:rPr>
          <w:lang w:val="en-GB"/>
        </w:rPr>
      </w:pPr>
      <w:r w:rsidRPr="00D3000E">
        <w:rPr>
          <w:lang w:val="en-GB"/>
        </w:rPr>
        <w:t>It is important to note that</w:t>
      </w:r>
      <w:r>
        <w:rPr>
          <w:lang w:val="en-GB"/>
        </w:rPr>
        <w:t>, nowadays,</w:t>
      </w:r>
      <w:r w:rsidRPr="00D3000E">
        <w:rPr>
          <w:lang w:val="en-GB"/>
        </w:rPr>
        <w:t xml:space="preserve"> </w:t>
      </w:r>
      <w:r>
        <w:rPr>
          <w:lang w:val="en-GB"/>
        </w:rPr>
        <w:t xml:space="preserve">there are </w:t>
      </w:r>
      <w:r w:rsidRPr="00D3000E">
        <w:rPr>
          <w:lang w:val="en-GB"/>
        </w:rPr>
        <w:t>pipes constructed in accordance with the PED</w:t>
      </w:r>
      <w:r>
        <w:rPr>
          <w:lang w:val="en-GB"/>
        </w:rPr>
        <w:t xml:space="preserve"> </w:t>
      </w:r>
      <w:r w:rsidRPr="00F35418">
        <w:rPr>
          <w:lang w:val="en-GB"/>
        </w:rPr>
        <w:t>Directive</w:t>
      </w:r>
      <w:r w:rsidRPr="00D3000E">
        <w:rPr>
          <w:lang w:val="en-GB"/>
        </w:rPr>
        <w:t xml:space="preserve"> and pipes built </w:t>
      </w:r>
      <w:r>
        <w:rPr>
          <w:lang w:val="en-GB"/>
        </w:rPr>
        <w:t xml:space="preserve">before the introduction of these European </w:t>
      </w:r>
      <w:r w:rsidRPr="009A1908">
        <w:rPr>
          <w:lang w:val="en-GB"/>
        </w:rPr>
        <w:t>Directives</w:t>
      </w:r>
      <w:r w:rsidR="00A34362" w:rsidRPr="009A1908">
        <w:rPr>
          <w:lang w:val="en-GB"/>
        </w:rPr>
        <w:t xml:space="preserve"> </w:t>
      </w:r>
      <w:r w:rsidR="009A1908" w:rsidRPr="009A1908">
        <w:rPr>
          <w:lang w:val="en-GB"/>
        </w:rPr>
        <w:t>(the</w:t>
      </w:r>
      <w:r w:rsidR="00A34362" w:rsidRPr="009A1908">
        <w:rPr>
          <w:lang w:val="en-GB"/>
        </w:rPr>
        <w:t xml:space="preserve"> latter lack manufacturer</w:t>
      </w:r>
      <w:r w:rsidR="00C71352">
        <w:rPr>
          <w:lang w:val="en-GB"/>
        </w:rPr>
        <w:t>’s</w:t>
      </w:r>
      <w:r w:rsidR="00A34362" w:rsidRPr="009A1908">
        <w:rPr>
          <w:lang w:val="en-GB"/>
        </w:rPr>
        <w:t xml:space="preserve"> certification)</w:t>
      </w:r>
      <w:r w:rsidR="009A1908">
        <w:rPr>
          <w:lang w:val="en-GB"/>
        </w:rPr>
        <w:t>.</w:t>
      </w:r>
      <w:r w:rsidR="00665F3C">
        <w:rPr>
          <w:lang w:val="en-GB"/>
        </w:rPr>
        <w:t xml:space="preserve"> </w:t>
      </w:r>
      <w:r w:rsidR="009A1908">
        <w:rPr>
          <w:lang w:val="en-GB"/>
        </w:rPr>
        <w:t>E</w:t>
      </w:r>
      <w:r w:rsidR="00A34362">
        <w:rPr>
          <w:lang w:val="en-GB"/>
        </w:rPr>
        <w:t>mployer</w:t>
      </w:r>
      <w:r w:rsidR="009A1908">
        <w:rPr>
          <w:lang w:val="en-GB"/>
        </w:rPr>
        <w:t>s in Italy</w:t>
      </w:r>
      <w:r w:rsidR="00A34362" w:rsidRPr="00A34362">
        <w:rPr>
          <w:lang w:val="en-GB"/>
        </w:rPr>
        <w:t xml:space="preserve"> must manage </w:t>
      </w:r>
      <w:r w:rsidR="00A34362">
        <w:rPr>
          <w:lang w:val="en-GB"/>
        </w:rPr>
        <w:t>these two different types of</w:t>
      </w:r>
      <w:r w:rsidR="00665F3C">
        <w:rPr>
          <w:lang w:val="en-GB"/>
        </w:rPr>
        <w:t xml:space="preserve"> pipes </w:t>
      </w:r>
      <w:r w:rsidR="00A34362" w:rsidRPr="00A34362">
        <w:rPr>
          <w:lang w:val="en-GB"/>
        </w:rPr>
        <w:t xml:space="preserve">in compliance with </w:t>
      </w:r>
      <w:r w:rsidR="00665F3C">
        <w:rPr>
          <w:lang w:val="en-GB"/>
        </w:rPr>
        <w:t>the Decree of the Ministry o</w:t>
      </w:r>
      <w:r w:rsidR="00665F3C" w:rsidRPr="00665F3C">
        <w:rPr>
          <w:lang w:val="en-GB"/>
        </w:rPr>
        <w:t xml:space="preserve">f Production Activities </w:t>
      </w:r>
      <w:r w:rsidR="00866C5E">
        <w:rPr>
          <w:lang w:val="en-GB"/>
        </w:rPr>
        <w:t>No</w:t>
      </w:r>
      <w:r w:rsidR="00E51D5F">
        <w:rPr>
          <w:lang w:val="en-GB"/>
        </w:rPr>
        <w:t>. 32</w:t>
      </w:r>
      <w:r w:rsidR="00665F3C">
        <w:rPr>
          <w:lang w:val="en-GB"/>
        </w:rPr>
        <w:t xml:space="preserve">9, issued on </w:t>
      </w:r>
      <w:r w:rsidR="00E51D5F">
        <w:rPr>
          <w:lang w:val="en-GB"/>
        </w:rPr>
        <w:t>December 1, 2004,</w:t>
      </w:r>
      <w:r w:rsidR="00A34362" w:rsidRPr="00A34362">
        <w:rPr>
          <w:lang w:val="en-GB"/>
        </w:rPr>
        <w:t xml:space="preserve"> and </w:t>
      </w:r>
      <w:r w:rsidR="00665F3C">
        <w:rPr>
          <w:lang w:val="en-GB"/>
        </w:rPr>
        <w:t xml:space="preserve">the </w:t>
      </w:r>
      <w:r w:rsidR="00665F3C" w:rsidRPr="00665F3C">
        <w:rPr>
          <w:lang w:val="en-GB"/>
        </w:rPr>
        <w:t xml:space="preserve">Decree of the Ministry of </w:t>
      </w:r>
      <w:r w:rsidR="00FD667C" w:rsidRPr="00665F3C">
        <w:rPr>
          <w:lang w:val="en-GB"/>
        </w:rPr>
        <w:t>Labour</w:t>
      </w:r>
      <w:r w:rsidR="00665F3C" w:rsidRPr="00665F3C">
        <w:rPr>
          <w:lang w:val="en-GB"/>
        </w:rPr>
        <w:t xml:space="preserve"> and Social Policies issued on April 11, 2011</w:t>
      </w:r>
      <w:r w:rsidR="00A34362" w:rsidRPr="00A34362">
        <w:rPr>
          <w:lang w:val="en-GB"/>
        </w:rPr>
        <w:t>.</w:t>
      </w:r>
    </w:p>
    <w:p w14:paraId="7B000565" w14:textId="3652FE41" w:rsidR="00F35418" w:rsidRDefault="00F35418" w:rsidP="00F35418">
      <w:pPr>
        <w:pStyle w:val="CETBodytext"/>
        <w:rPr>
          <w:lang w:val="en-GB"/>
        </w:rPr>
      </w:pPr>
      <w:r w:rsidRPr="00F35418">
        <w:rPr>
          <w:lang w:val="en-GB"/>
        </w:rPr>
        <w:t>Furthermore, authors describe the main effects on the health of workers and citizens living near industrial plants, due to accidents causing fires, explosions and release of toxic substances.</w:t>
      </w:r>
    </w:p>
    <w:p w14:paraId="76201B62" w14:textId="77777777" w:rsidR="005C222B" w:rsidRDefault="005C222B" w:rsidP="00F35418">
      <w:pPr>
        <w:pStyle w:val="CETBodytext"/>
        <w:rPr>
          <w:lang w:val="en-GB"/>
        </w:rPr>
      </w:pPr>
    </w:p>
    <w:p w14:paraId="07CBA795" w14:textId="527EF1F0" w:rsidR="005C222B" w:rsidRDefault="005C222B" w:rsidP="00F35418">
      <w:pPr>
        <w:pStyle w:val="CETBodytext"/>
        <w:rPr>
          <w:lang w:val="en-GB"/>
        </w:rPr>
      </w:pPr>
      <w:r w:rsidRPr="005C222B">
        <w:rPr>
          <w:lang w:val="en-GB"/>
        </w:rPr>
        <w:t>Keywords: Pressure Pipes Safety (construction and exercise), incidental events, PED directive, Seveso directive, workers</w:t>
      </w:r>
      <w:r w:rsidR="001B272A">
        <w:rPr>
          <w:lang w:val="en-GB"/>
        </w:rPr>
        <w:t>’</w:t>
      </w:r>
      <w:r w:rsidRPr="005C222B">
        <w:rPr>
          <w:lang w:val="en-GB"/>
        </w:rPr>
        <w:t xml:space="preserve"> health, </w:t>
      </w:r>
      <w:r w:rsidR="001B272A">
        <w:rPr>
          <w:lang w:val="en-GB"/>
        </w:rPr>
        <w:t>citizens’</w:t>
      </w:r>
      <w:r w:rsidRPr="005C222B">
        <w:rPr>
          <w:lang w:val="en-GB"/>
        </w:rPr>
        <w:t xml:space="preserve"> health</w:t>
      </w:r>
    </w:p>
    <w:bookmarkEnd w:id="0"/>
    <w:p w14:paraId="476B2F2E" w14:textId="77777777" w:rsidR="00600535" w:rsidRPr="00B57B36" w:rsidRDefault="00600535" w:rsidP="00600535">
      <w:pPr>
        <w:pStyle w:val="CETHeading1"/>
        <w:rPr>
          <w:lang w:val="en-GB"/>
        </w:rPr>
      </w:pPr>
      <w:r w:rsidRPr="00B57B36">
        <w:rPr>
          <w:lang w:val="en-GB"/>
        </w:rPr>
        <w:t>Introduction</w:t>
      </w:r>
    </w:p>
    <w:p w14:paraId="705DD8BA" w14:textId="4A84C085" w:rsidR="00003B92" w:rsidRDefault="00003B92" w:rsidP="00600535">
      <w:pPr>
        <w:pStyle w:val="CETBodytext"/>
        <w:rPr>
          <w:lang w:val="en-GB"/>
        </w:rPr>
      </w:pPr>
      <w:r w:rsidRPr="00003B92">
        <w:rPr>
          <w:lang w:val="en-GB"/>
        </w:rPr>
        <w:t>Pressure pipes are used to move liquids and gases between the various parts of an industrial plant, connecting pressure equipment such as steam generators, reactors, heat excha</w:t>
      </w:r>
      <w:r>
        <w:rPr>
          <w:lang w:val="en-GB"/>
        </w:rPr>
        <w:t>ngers, pressure tanks, etc..</w:t>
      </w:r>
    </w:p>
    <w:p w14:paraId="3E5E0309" w14:textId="6E371911" w:rsidR="00003B92" w:rsidRDefault="00003B92" w:rsidP="00600535">
      <w:pPr>
        <w:pStyle w:val="CETBodytext"/>
        <w:rPr>
          <w:lang w:val="en-GB"/>
        </w:rPr>
      </w:pPr>
      <w:r w:rsidRPr="00003B92">
        <w:rPr>
          <w:lang w:val="en-GB"/>
        </w:rPr>
        <w:t>The chemical substances handled are often dangerous and can trigger fires, explosions, toxic releases with serious consequences both for human health (workers and the population living near the industrial plant) and for the surrounding environment, especially in the case of industrial plants falling within the Seveso directive (2012/18/EU), which contain high quantities of dangerous substances.</w:t>
      </w:r>
    </w:p>
    <w:p w14:paraId="3B4AC37A" w14:textId="77777777" w:rsidR="001F7F1C" w:rsidRDefault="001F7F1C" w:rsidP="00600535">
      <w:pPr>
        <w:pStyle w:val="CETBodytext"/>
        <w:rPr>
          <w:lang w:val="en-GB"/>
        </w:rPr>
      </w:pPr>
    </w:p>
    <w:p w14:paraId="57D1781E" w14:textId="787AD23F" w:rsidR="001F7F1C" w:rsidRDefault="001F7F1C" w:rsidP="00600535">
      <w:pPr>
        <w:pStyle w:val="CETBodytext"/>
        <w:rPr>
          <w:lang w:val="en-GB"/>
        </w:rPr>
      </w:pPr>
      <w:r w:rsidRPr="001F7F1C">
        <w:rPr>
          <w:lang w:val="en-GB"/>
        </w:rPr>
        <w:lastRenderedPageBreak/>
        <w:t xml:space="preserve">The employer, in order to manage the pressure pipes present in their </w:t>
      </w:r>
      <w:r>
        <w:rPr>
          <w:lang w:val="en-GB"/>
        </w:rPr>
        <w:t>industrial plant</w:t>
      </w:r>
      <w:r w:rsidRPr="001F7F1C">
        <w:rPr>
          <w:lang w:val="en-GB"/>
        </w:rPr>
        <w:t>, must identify those constructed according to the PED directives</w:t>
      </w:r>
      <w:r>
        <w:rPr>
          <w:lang w:val="en-GB"/>
        </w:rPr>
        <w:t xml:space="preserve"> (97/23/EC or 2014/68/EU)</w:t>
      </w:r>
      <w:r w:rsidRPr="001F7F1C">
        <w:rPr>
          <w:lang w:val="en-GB"/>
        </w:rPr>
        <w:t xml:space="preserve"> and those built before the </w:t>
      </w:r>
      <w:r>
        <w:rPr>
          <w:lang w:val="en-GB"/>
        </w:rPr>
        <w:t>above</w:t>
      </w:r>
      <w:r w:rsidRPr="001F7F1C">
        <w:rPr>
          <w:lang w:val="en-GB"/>
        </w:rPr>
        <w:t>mentioned directives</w:t>
      </w:r>
      <w:r>
        <w:rPr>
          <w:lang w:val="en-GB"/>
        </w:rPr>
        <w:t>.</w:t>
      </w:r>
      <w:r w:rsidR="00894E59">
        <w:rPr>
          <w:lang w:val="en-GB"/>
        </w:rPr>
        <w:t xml:space="preserve"> </w:t>
      </w:r>
      <w:r w:rsidR="003E0F51">
        <w:rPr>
          <w:lang w:val="en-GB"/>
        </w:rPr>
        <w:t xml:space="preserve">Afterwards, the employer, </w:t>
      </w:r>
      <w:r w:rsidR="003E0F51" w:rsidRPr="00003B92">
        <w:rPr>
          <w:lang w:val="en-GB"/>
        </w:rPr>
        <w:t xml:space="preserve">in </w:t>
      </w:r>
      <w:r w:rsidR="003E0F51">
        <w:rPr>
          <w:lang w:val="en-GB"/>
        </w:rPr>
        <w:t>order to manage residual risks</w:t>
      </w:r>
      <w:r w:rsidR="003E0F51" w:rsidRPr="00003B92">
        <w:rPr>
          <w:lang w:val="en-GB"/>
        </w:rPr>
        <w:t xml:space="preserve"> </w:t>
      </w:r>
      <w:r w:rsidR="003E0F51">
        <w:rPr>
          <w:lang w:val="en-GB"/>
        </w:rPr>
        <w:t xml:space="preserve">and to </w:t>
      </w:r>
      <w:r w:rsidR="003E0F51" w:rsidRPr="00003B92">
        <w:rPr>
          <w:lang w:val="en-GB"/>
        </w:rPr>
        <w:t xml:space="preserve">maintain regular </w:t>
      </w:r>
      <w:r w:rsidR="003E0F51">
        <w:rPr>
          <w:lang w:val="en-GB"/>
        </w:rPr>
        <w:t>operation of the pressure pipes, verifies</w:t>
      </w:r>
      <w:r>
        <w:rPr>
          <w:lang w:val="en-GB"/>
        </w:rPr>
        <w:t xml:space="preserve"> </w:t>
      </w:r>
      <w:r w:rsidR="003E0F51">
        <w:rPr>
          <w:lang w:val="en-GB"/>
        </w:rPr>
        <w:t>that:</w:t>
      </w:r>
    </w:p>
    <w:p w14:paraId="14ECE94D" w14:textId="00E915C3" w:rsidR="00003B92" w:rsidRDefault="001F7F1C" w:rsidP="001F7F1C">
      <w:pPr>
        <w:pStyle w:val="CETBodytext"/>
        <w:numPr>
          <w:ilvl w:val="0"/>
          <w:numId w:val="26"/>
        </w:numPr>
        <w:rPr>
          <w:lang w:val="en-GB"/>
        </w:rPr>
      </w:pPr>
      <w:r>
        <w:rPr>
          <w:lang w:val="en-GB"/>
        </w:rPr>
        <w:t xml:space="preserve">pipes built according with PED directives: </w:t>
      </w:r>
      <w:r w:rsidR="003E0F51" w:rsidRPr="00003B92">
        <w:rPr>
          <w:lang w:val="en-GB"/>
        </w:rPr>
        <w:t xml:space="preserve">the equipment is </w:t>
      </w:r>
      <w:r w:rsidR="003E0F51">
        <w:rPr>
          <w:lang w:val="en-GB"/>
        </w:rPr>
        <w:t xml:space="preserve">provided with </w:t>
      </w:r>
      <w:r w:rsidR="00003B92" w:rsidRPr="00003B92">
        <w:rPr>
          <w:lang w:val="en-GB"/>
        </w:rPr>
        <w:t>1) CE declaration of conformity to the PED direc</w:t>
      </w:r>
      <w:r w:rsidR="003E0F51">
        <w:rPr>
          <w:lang w:val="en-GB"/>
        </w:rPr>
        <w:t>tive,</w:t>
      </w:r>
      <w:r w:rsidR="00003B92" w:rsidRPr="00003B92">
        <w:rPr>
          <w:lang w:val="en-GB"/>
        </w:rPr>
        <w:t xml:space="preserve"> 2) identification plate o</w:t>
      </w:r>
      <w:r w:rsidR="007042EE">
        <w:rPr>
          <w:lang w:val="en-GB"/>
        </w:rPr>
        <w:t>n the pressure equipment</w:t>
      </w:r>
      <w:r w:rsidR="003E0F51">
        <w:rPr>
          <w:lang w:val="en-GB"/>
        </w:rPr>
        <w:t>,</w:t>
      </w:r>
      <w:r w:rsidR="00003B92" w:rsidRPr="00003B92">
        <w:rPr>
          <w:lang w:val="en-GB"/>
        </w:rPr>
        <w:t xml:space="preserve"> 3) use and maintenance instruct</w:t>
      </w:r>
      <w:r w:rsidR="003E0F51">
        <w:rPr>
          <w:lang w:val="en-GB"/>
        </w:rPr>
        <w:t>ions issued by the manufacturer;</w:t>
      </w:r>
    </w:p>
    <w:p w14:paraId="1F0E4E91" w14:textId="53734A09" w:rsidR="003E0F51" w:rsidRDefault="003E0F51" w:rsidP="001F7F1C">
      <w:pPr>
        <w:pStyle w:val="CETBodytext"/>
        <w:numPr>
          <w:ilvl w:val="0"/>
          <w:numId w:val="26"/>
        </w:numPr>
        <w:rPr>
          <w:lang w:val="en-GB"/>
        </w:rPr>
      </w:pPr>
      <w:r>
        <w:rPr>
          <w:lang w:val="en-GB"/>
        </w:rPr>
        <w:t xml:space="preserve">pipes </w:t>
      </w:r>
      <w:r w:rsidRPr="007042EE">
        <w:rPr>
          <w:lang w:val="en-GB"/>
        </w:rPr>
        <w:t xml:space="preserve">built before the introduction of PED directives: the equipment is </w:t>
      </w:r>
      <w:r w:rsidR="00894E59" w:rsidRPr="007042EE">
        <w:rPr>
          <w:lang w:val="en-GB"/>
        </w:rPr>
        <w:t>built following</w:t>
      </w:r>
      <w:r w:rsidRPr="007042EE">
        <w:rPr>
          <w:lang w:val="en-GB"/>
        </w:rPr>
        <w:t xml:space="preserve"> </w:t>
      </w:r>
      <w:r w:rsidR="00894E59" w:rsidRPr="007042EE">
        <w:rPr>
          <w:lang w:val="en-GB"/>
        </w:rPr>
        <w:t>good engineering</w:t>
      </w:r>
      <w:r w:rsidRPr="007042EE">
        <w:rPr>
          <w:lang w:val="en-GB"/>
        </w:rPr>
        <w:t xml:space="preserve"> practices.</w:t>
      </w:r>
    </w:p>
    <w:p w14:paraId="4443E064" w14:textId="2A307F47" w:rsidR="006824C5" w:rsidRDefault="00DE0D88" w:rsidP="00600535">
      <w:pPr>
        <w:pStyle w:val="CETBodytext"/>
        <w:rPr>
          <w:lang w:val="en-GB"/>
        </w:rPr>
      </w:pPr>
      <w:r>
        <w:rPr>
          <w:lang w:val="en-GB"/>
        </w:rPr>
        <w:t>Following authors’</w:t>
      </w:r>
      <w:r w:rsidR="006824C5" w:rsidRPr="006824C5">
        <w:rPr>
          <w:lang w:val="en-GB"/>
        </w:rPr>
        <w:t xml:space="preserve"> experience in this field</w:t>
      </w:r>
      <w:r w:rsidR="006824C5">
        <w:rPr>
          <w:lang w:val="en-GB"/>
        </w:rPr>
        <w:t>, this paper o</w:t>
      </w:r>
      <w:r w:rsidR="00733CE5">
        <w:rPr>
          <w:lang w:val="en-GB"/>
        </w:rPr>
        <w:t xml:space="preserve">ffers the </w:t>
      </w:r>
      <w:r w:rsidR="006824C5" w:rsidRPr="006824C5">
        <w:rPr>
          <w:lang w:val="en-GB"/>
        </w:rPr>
        <w:t xml:space="preserve">employer a concise framework for safely managing pressure pipes, from the construction phase to the operation phase of the pipes themselves, introducing a method for assessing risks during the operation phase </w:t>
      </w:r>
      <w:r w:rsidR="006824C5">
        <w:rPr>
          <w:lang w:val="en-GB"/>
        </w:rPr>
        <w:t>with the aim of protecting</w:t>
      </w:r>
      <w:r w:rsidR="006824C5" w:rsidRPr="006824C5">
        <w:rPr>
          <w:lang w:val="en-GB"/>
        </w:rPr>
        <w:t xml:space="preserve"> health of workers, population and environment</w:t>
      </w:r>
      <w:r w:rsidR="006824C5">
        <w:rPr>
          <w:lang w:val="en-GB"/>
        </w:rPr>
        <w:t>.</w:t>
      </w:r>
    </w:p>
    <w:p w14:paraId="37C743C8" w14:textId="0FDCB517" w:rsidR="00FF4D3E" w:rsidRPr="00B57B36" w:rsidRDefault="00FF4D3E" w:rsidP="00FF4D3E">
      <w:pPr>
        <w:pStyle w:val="CETHeading1"/>
        <w:rPr>
          <w:lang w:val="en-GB"/>
        </w:rPr>
      </w:pPr>
      <w:r w:rsidRPr="00FF4D3E">
        <w:rPr>
          <w:lang w:val="en-GB"/>
        </w:rPr>
        <w:t>Safe management of</w:t>
      </w:r>
      <w:r w:rsidR="00827F85">
        <w:rPr>
          <w:lang w:val="en-GB"/>
        </w:rPr>
        <w:t xml:space="preserve"> pressure pipes during operating phase</w:t>
      </w:r>
    </w:p>
    <w:p w14:paraId="7BAE9AF2" w14:textId="055F3B21" w:rsidR="00776E5C" w:rsidRDefault="00776E5C" w:rsidP="00FF4D3E">
      <w:pPr>
        <w:pStyle w:val="CETBodytext"/>
        <w:rPr>
          <w:lang w:val="en-GB"/>
        </w:rPr>
      </w:pPr>
      <w:r w:rsidRPr="00776E5C">
        <w:rPr>
          <w:lang w:val="en-GB"/>
        </w:rPr>
        <w:t xml:space="preserve">Pressure pipes, as well as pressure equipment and/or assemblies, introduce a specific risk in the workplace (even if correctly constructed and CE-PED certified) depending on: 1) </w:t>
      </w:r>
      <w:r w:rsidRPr="00BE45E9">
        <w:rPr>
          <w:lang w:val="en-GB"/>
        </w:rPr>
        <w:t>use condition</w:t>
      </w:r>
      <w:r w:rsidRPr="00BE45E9">
        <w:rPr>
          <w:color w:val="FF0000"/>
          <w:lang w:val="en-GB"/>
        </w:rPr>
        <w:t xml:space="preserve"> </w:t>
      </w:r>
      <w:r w:rsidRPr="00BE45E9">
        <w:rPr>
          <w:lang w:val="en-GB"/>
        </w:rPr>
        <w:t>(pressure, temperature, physical state); 2) place of installation and possible interference with other nearby equipment</w:t>
      </w:r>
      <w:r w:rsidRPr="00776E5C">
        <w:rPr>
          <w:lang w:val="en-GB"/>
        </w:rPr>
        <w:t>; 3) type of plant; 4) contained fluid, dangerous or non-dangerous (the dangerous fluids, indicated in the PED directive as group 1, are: explosive, flammable, toxic, oxidising; while the fluids of group 2 are all the other fluid</w:t>
      </w:r>
      <w:r w:rsidR="005D1CC7">
        <w:rPr>
          <w:lang w:val="en-GB"/>
        </w:rPr>
        <w:t>s not falling within group 1); 5</w:t>
      </w:r>
      <w:r w:rsidRPr="00776E5C">
        <w:rPr>
          <w:lang w:val="en-GB"/>
        </w:rPr>
        <w:t>) Volume (vessels) and Nominal Diameter (DN).</w:t>
      </w:r>
      <w:r w:rsidR="00827F85">
        <w:rPr>
          <w:lang w:val="en-GB"/>
        </w:rPr>
        <w:t xml:space="preserve"> The diversity of the abov</w:t>
      </w:r>
      <w:r w:rsidR="00827F85" w:rsidRPr="00827F85">
        <w:rPr>
          <w:lang w:val="en-GB"/>
        </w:rPr>
        <w:t xml:space="preserve">ementioned conditions can lead, for the same type of pipes or pressure equipment/assembly, to different risk levels </w:t>
      </w:r>
      <w:r w:rsidR="00827F85">
        <w:rPr>
          <w:lang w:val="en-GB"/>
        </w:rPr>
        <w:t>during</w:t>
      </w:r>
      <w:r w:rsidR="00827F85" w:rsidRPr="00827F85">
        <w:rPr>
          <w:lang w:val="en-GB"/>
        </w:rPr>
        <w:t xml:space="preserve"> operating phase.</w:t>
      </w:r>
    </w:p>
    <w:p w14:paraId="3D5F53AC" w14:textId="4729939C" w:rsidR="00BE45E9" w:rsidRDefault="003711D9" w:rsidP="00FF4D3E">
      <w:pPr>
        <w:pStyle w:val="CETBodytext"/>
        <w:rPr>
          <w:lang w:val="en-GB"/>
        </w:rPr>
      </w:pPr>
      <w:r>
        <w:rPr>
          <w:lang w:val="en-GB"/>
        </w:rPr>
        <w:t>M</w:t>
      </w:r>
      <w:r w:rsidRPr="003711D9">
        <w:rPr>
          <w:lang w:val="en-GB"/>
        </w:rPr>
        <w:t xml:space="preserve">ain </w:t>
      </w:r>
      <w:r>
        <w:rPr>
          <w:lang w:val="en-GB"/>
        </w:rPr>
        <w:t>steps</w:t>
      </w:r>
      <w:r w:rsidRPr="003711D9">
        <w:rPr>
          <w:lang w:val="en-GB"/>
        </w:rPr>
        <w:t xml:space="preserve"> suggested to correctly manage pressurized pipes during the operation phase are:</w:t>
      </w:r>
    </w:p>
    <w:p w14:paraId="21108F75" w14:textId="00250E9F" w:rsidR="003711D9" w:rsidRDefault="0094075E" w:rsidP="00FF4D3E">
      <w:pPr>
        <w:pStyle w:val="CETBodytext"/>
        <w:rPr>
          <w:lang w:val="en-GB"/>
        </w:rPr>
      </w:pPr>
      <w:r w:rsidRPr="0094075E">
        <w:rPr>
          <w:lang w:val="en-GB"/>
        </w:rPr>
        <w:t xml:space="preserve">STEP A). </w:t>
      </w:r>
      <w:r w:rsidR="003C7BE7">
        <w:rPr>
          <w:lang w:val="en-GB"/>
        </w:rPr>
        <w:t>P</w:t>
      </w:r>
      <w:r>
        <w:rPr>
          <w:lang w:val="en-GB"/>
        </w:rPr>
        <w:t xml:space="preserve">ressure </w:t>
      </w:r>
      <w:r w:rsidRPr="0094075E">
        <w:rPr>
          <w:lang w:val="en-GB"/>
        </w:rPr>
        <w:t xml:space="preserve">pipes for the entire </w:t>
      </w:r>
      <w:r>
        <w:rPr>
          <w:lang w:val="en-GB"/>
        </w:rPr>
        <w:t>plant</w:t>
      </w:r>
      <w:r w:rsidR="003C7BE7">
        <w:rPr>
          <w:lang w:val="en-GB"/>
        </w:rPr>
        <w:t>,</w:t>
      </w:r>
      <w:r>
        <w:rPr>
          <w:lang w:val="en-GB"/>
        </w:rPr>
        <w:t xml:space="preserve"> with the relative</w:t>
      </w:r>
      <w:r w:rsidRPr="0094075E">
        <w:rPr>
          <w:lang w:val="en-GB"/>
        </w:rPr>
        <w:t xml:space="preserve"> documentation issued by the manufacturer</w:t>
      </w:r>
      <w:r w:rsidR="003C7BE7">
        <w:rPr>
          <w:lang w:val="en-GB"/>
        </w:rPr>
        <w:t>, must be registered</w:t>
      </w:r>
      <w:r w:rsidRPr="0094075E">
        <w:rPr>
          <w:lang w:val="en-GB"/>
        </w:rPr>
        <w:t xml:space="preserve">. </w:t>
      </w:r>
      <w:r w:rsidR="003C7BE7">
        <w:rPr>
          <w:lang w:val="en-GB"/>
        </w:rPr>
        <w:t>The census must also include p</w:t>
      </w:r>
      <w:r w:rsidRPr="0094075E">
        <w:rPr>
          <w:lang w:val="en-GB"/>
        </w:rPr>
        <w:t>ressure pipes already existing before the entry into force of the first PED directive 97/23/EC and not CE-PED certified.</w:t>
      </w:r>
    </w:p>
    <w:p w14:paraId="16CA4CE9" w14:textId="77777777" w:rsidR="003E0F51" w:rsidRDefault="009B0152" w:rsidP="00FF4D3E">
      <w:pPr>
        <w:pStyle w:val="CETBodytext"/>
        <w:rPr>
          <w:lang w:val="en-GB"/>
        </w:rPr>
      </w:pPr>
      <w:r w:rsidRPr="009B0152">
        <w:rPr>
          <w:lang w:val="en-GB"/>
        </w:rPr>
        <w:t>STEP B). Identification of the PED risk category, both for pipes built according to the PED directive and those built before the PED directive, using</w:t>
      </w:r>
      <w:r w:rsidR="003E0F51">
        <w:rPr>
          <w:lang w:val="en-GB"/>
        </w:rPr>
        <w:t>:</w:t>
      </w:r>
    </w:p>
    <w:p w14:paraId="2115EE6C" w14:textId="6C831426" w:rsidR="00776E5C" w:rsidRDefault="003E0F51" w:rsidP="003E0F51">
      <w:pPr>
        <w:pStyle w:val="CETBodytext"/>
        <w:numPr>
          <w:ilvl w:val="0"/>
          <w:numId w:val="28"/>
        </w:numPr>
        <w:rPr>
          <w:lang w:val="en-GB"/>
        </w:rPr>
      </w:pPr>
      <w:r>
        <w:rPr>
          <w:lang w:val="en-GB"/>
        </w:rPr>
        <w:t>for pipes carrying gas:</w:t>
      </w:r>
      <w:r w:rsidR="009B0152" w:rsidRPr="009B0152">
        <w:rPr>
          <w:lang w:val="en-GB"/>
        </w:rPr>
        <w:t xml:space="preserve"> table 6 (Dangerous fluid, group 1) and table 7 (Non-</w:t>
      </w:r>
      <w:r w:rsidR="009B0152">
        <w:rPr>
          <w:lang w:val="en-GB"/>
        </w:rPr>
        <w:t>D</w:t>
      </w:r>
      <w:r w:rsidR="009B0152" w:rsidRPr="009B0152">
        <w:rPr>
          <w:lang w:val="en-GB"/>
        </w:rPr>
        <w:t>angerous fluid, group 2) of the directive PED</w:t>
      </w:r>
      <w:r w:rsidR="009B0152">
        <w:rPr>
          <w:lang w:val="en-GB"/>
        </w:rPr>
        <w:t xml:space="preserve"> (Figure 1)</w:t>
      </w:r>
      <w:r>
        <w:rPr>
          <w:lang w:val="en-GB"/>
        </w:rPr>
        <w:t>;</w:t>
      </w:r>
    </w:p>
    <w:p w14:paraId="74B16852" w14:textId="329CC080" w:rsidR="003E0F51" w:rsidRDefault="003E0F51" w:rsidP="003E0F51">
      <w:pPr>
        <w:pStyle w:val="CETBodytext"/>
        <w:numPr>
          <w:ilvl w:val="0"/>
          <w:numId w:val="28"/>
        </w:numPr>
        <w:rPr>
          <w:lang w:val="en-GB"/>
        </w:rPr>
      </w:pPr>
      <w:r>
        <w:rPr>
          <w:lang w:val="en-GB"/>
        </w:rPr>
        <w:t xml:space="preserve">for pipes carrying liquids: </w:t>
      </w:r>
      <w:r w:rsidRPr="009B0152">
        <w:rPr>
          <w:lang w:val="en-GB"/>
        </w:rPr>
        <w:t xml:space="preserve">table </w:t>
      </w:r>
      <w:r>
        <w:rPr>
          <w:lang w:val="en-GB"/>
        </w:rPr>
        <w:t>8</w:t>
      </w:r>
      <w:r w:rsidRPr="009B0152">
        <w:rPr>
          <w:lang w:val="en-GB"/>
        </w:rPr>
        <w:t xml:space="preserve"> (Dangerous fluid, group 1) and table </w:t>
      </w:r>
      <w:r>
        <w:rPr>
          <w:lang w:val="en-GB"/>
        </w:rPr>
        <w:t>9</w:t>
      </w:r>
      <w:r w:rsidRPr="009B0152">
        <w:rPr>
          <w:lang w:val="en-GB"/>
        </w:rPr>
        <w:t xml:space="preserve"> (Non-</w:t>
      </w:r>
      <w:r>
        <w:rPr>
          <w:lang w:val="en-GB"/>
        </w:rPr>
        <w:t>D</w:t>
      </w:r>
      <w:r w:rsidRPr="009B0152">
        <w:rPr>
          <w:lang w:val="en-GB"/>
        </w:rPr>
        <w:t>angerous fluid, group 2) of the directive PED</w:t>
      </w:r>
      <w:r>
        <w:rPr>
          <w:lang w:val="en-GB"/>
        </w:rPr>
        <w:t xml:space="preserve"> (not </w:t>
      </w:r>
      <w:r w:rsidR="001C7E9D">
        <w:rPr>
          <w:lang w:val="en-GB"/>
        </w:rPr>
        <w:t>shown</w:t>
      </w:r>
      <w:r w:rsidR="001C7E9D" w:rsidRPr="001C7E9D">
        <w:rPr>
          <w:lang w:val="en-GB"/>
        </w:rPr>
        <w:t xml:space="preserve"> </w:t>
      </w:r>
      <w:r w:rsidR="001C7E9D">
        <w:rPr>
          <w:lang w:val="en-GB"/>
        </w:rPr>
        <w:t>here</w:t>
      </w:r>
      <w:r>
        <w:rPr>
          <w:lang w:val="en-GB"/>
        </w:rPr>
        <w:t>).</w:t>
      </w:r>
    </w:p>
    <w:tbl>
      <w:tblPr>
        <w:tblStyle w:val="Grigliatabella"/>
        <w:tblW w:w="0" w:type="auto"/>
        <w:tblLook w:val="04A0" w:firstRow="1" w:lastRow="0" w:firstColumn="1" w:lastColumn="0" w:noHBand="0" w:noVBand="1"/>
      </w:tblPr>
      <w:tblGrid>
        <w:gridCol w:w="4468"/>
        <w:gridCol w:w="4461"/>
      </w:tblGrid>
      <w:tr w:rsidR="009B0152" w:rsidRPr="002163B2" w14:paraId="0C8C3955" w14:textId="77777777" w:rsidTr="00DE0D88">
        <w:trPr>
          <w:trHeight w:val="2060"/>
        </w:trPr>
        <w:tc>
          <w:tcPr>
            <w:tcW w:w="4468" w:type="dxa"/>
          </w:tcPr>
          <w:p w14:paraId="035E37CC" w14:textId="0A35BE39" w:rsidR="009B0152" w:rsidRPr="00B254BE" w:rsidRDefault="009B0152" w:rsidP="002D73A9">
            <w:pPr>
              <w:pStyle w:val="CETBodytext"/>
              <w:rPr>
                <w:sz w:val="16"/>
              </w:rPr>
            </w:pPr>
            <w:r w:rsidRPr="00B254BE">
              <w:rPr>
                <w:sz w:val="16"/>
              </w:rPr>
              <w:t xml:space="preserve">          Table 6 of Directive PED: Dangerous fluid</w:t>
            </w:r>
          </w:p>
          <w:p w14:paraId="508F42AF" w14:textId="66C531E7" w:rsidR="009B0152" w:rsidRDefault="001F47D3" w:rsidP="002D73A9">
            <w:pPr>
              <w:pStyle w:val="CETBodytext"/>
            </w:pPr>
            <w:r>
              <w:object w:dxaOrig="11101" w:dyaOrig="8879" w14:anchorId="67AA8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5pt;height:143.3pt" o:ole="">
                  <v:imagedata r:id="rId11" o:title=""/>
                </v:shape>
                <o:OLEObject Type="Embed" ProgID="PBrush" ShapeID="_x0000_i1025" DrawAspect="Content" ObjectID="_1777922238" r:id="rId12"/>
              </w:object>
            </w:r>
          </w:p>
          <w:p w14:paraId="22FE088C" w14:textId="541B4ECD" w:rsidR="009B0152" w:rsidRPr="002163B2" w:rsidRDefault="002163B2" w:rsidP="002D73A9">
            <w:pPr>
              <w:pStyle w:val="CETBodytext"/>
              <w:rPr>
                <w:sz w:val="16"/>
                <w:szCs w:val="16"/>
              </w:rPr>
            </w:pPr>
            <w:r w:rsidRPr="002163B2">
              <w:rPr>
                <w:sz w:val="16"/>
                <w:szCs w:val="16"/>
              </w:rPr>
              <w:t>Note: Pipes intended to contain unstable gases belonging, according to Table 6, to categories I or II</w:t>
            </w:r>
            <w:r>
              <w:rPr>
                <w:sz w:val="16"/>
                <w:szCs w:val="16"/>
              </w:rPr>
              <w:t>,</w:t>
            </w:r>
            <w:r w:rsidRPr="002163B2">
              <w:rPr>
                <w:sz w:val="16"/>
                <w:szCs w:val="16"/>
              </w:rPr>
              <w:t xml:space="preserve"> are classified in category III (PED Directive 2014/68/EU).</w:t>
            </w:r>
          </w:p>
        </w:tc>
        <w:tc>
          <w:tcPr>
            <w:tcW w:w="4461" w:type="dxa"/>
          </w:tcPr>
          <w:p w14:paraId="069A9597" w14:textId="05B25AEC" w:rsidR="009B0152" w:rsidRPr="00B254BE" w:rsidRDefault="009B0152" w:rsidP="002D73A9">
            <w:pPr>
              <w:pStyle w:val="CETBodytext"/>
              <w:rPr>
                <w:sz w:val="16"/>
              </w:rPr>
            </w:pPr>
            <w:r w:rsidRPr="00B254BE">
              <w:rPr>
                <w:sz w:val="16"/>
              </w:rPr>
              <w:t xml:space="preserve">     Table 7 of Directive PED: Non-Dangerous fluid</w:t>
            </w:r>
          </w:p>
          <w:p w14:paraId="73697434" w14:textId="36C87344" w:rsidR="009B0152" w:rsidRDefault="001F47D3" w:rsidP="002D73A9">
            <w:pPr>
              <w:pStyle w:val="CETBodytext"/>
            </w:pPr>
            <w:r>
              <w:object w:dxaOrig="10801" w:dyaOrig="8879" w14:anchorId="14E07E69">
                <v:shape id="_x0000_i1026" type="#_x0000_t75" style="width:195.9pt;height:143.3pt" o:ole="">
                  <v:imagedata r:id="rId13" o:title=""/>
                </v:shape>
                <o:OLEObject Type="Embed" ProgID="PBrush" ShapeID="_x0000_i1026" DrawAspect="Content" ObjectID="_1777922239" r:id="rId14"/>
              </w:object>
            </w:r>
          </w:p>
          <w:p w14:paraId="2F9BF17E" w14:textId="5D3B0009" w:rsidR="009B0152" w:rsidRPr="002163B2" w:rsidRDefault="002163B2" w:rsidP="00F01D94">
            <w:pPr>
              <w:pStyle w:val="CETBodytext"/>
              <w:rPr>
                <w:sz w:val="16"/>
                <w:szCs w:val="16"/>
              </w:rPr>
            </w:pPr>
            <w:r>
              <w:rPr>
                <w:sz w:val="16"/>
                <w:szCs w:val="16"/>
              </w:rPr>
              <w:t>Note: P</w:t>
            </w:r>
            <w:r w:rsidRPr="002163B2">
              <w:rPr>
                <w:sz w:val="16"/>
                <w:szCs w:val="16"/>
              </w:rPr>
              <w:t xml:space="preserve">ipes containing fluids at a temperature above </w:t>
            </w:r>
            <w:r>
              <w:rPr>
                <w:sz w:val="16"/>
                <w:szCs w:val="16"/>
              </w:rPr>
              <w:t>350 °C belonging, according to T</w:t>
            </w:r>
            <w:r w:rsidRPr="002163B2">
              <w:rPr>
                <w:sz w:val="16"/>
                <w:szCs w:val="16"/>
              </w:rPr>
              <w:t>able 7, to category II</w:t>
            </w:r>
            <w:r>
              <w:rPr>
                <w:sz w:val="16"/>
                <w:szCs w:val="16"/>
              </w:rPr>
              <w:t>,</w:t>
            </w:r>
            <w:r w:rsidRPr="002163B2">
              <w:rPr>
                <w:sz w:val="16"/>
                <w:szCs w:val="16"/>
              </w:rPr>
              <w:t xml:space="preserve"> are classified in category III (PED Directive 2014/68/EU).</w:t>
            </w:r>
          </w:p>
        </w:tc>
      </w:tr>
    </w:tbl>
    <w:p w14:paraId="31DA16DF" w14:textId="175B3CD9" w:rsidR="009B0152" w:rsidRPr="00DE5080" w:rsidRDefault="00DE5080" w:rsidP="00FF4D3E">
      <w:pPr>
        <w:pStyle w:val="CETBodytext"/>
      </w:pPr>
      <w:r w:rsidRPr="00BD077D">
        <w:rPr>
          <w:rStyle w:val="CETCaptionCarattere"/>
        </w:rPr>
        <w:t xml:space="preserve">Figure 1: </w:t>
      </w:r>
      <w:r w:rsidRPr="00DE5080">
        <w:rPr>
          <w:rStyle w:val="CETCaptionCarattere"/>
        </w:rPr>
        <w:t>Table 6</w:t>
      </w:r>
      <w:r>
        <w:rPr>
          <w:rStyle w:val="CETCaptionCarattere"/>
        </w:rPr>
        <w:t xml:space="preserve"> (</w:t>
      </w:r>
      <w:r w:rsidRPr="00DE5080">
        <w:rPr>
          <w:rStyle w:val="CETCaptionCarattere"/>
        </w:rPr>
        <w:t>Dangerous fluid</w:t>
      </w:r>
      <w:r>
        <w:rPr>
          <w:rStyle w:val="CETCaptionCarattere"/>
        </w:rPr>
        <w:t xml:space="preserve">, group 1) and </w:t>
      </w:r>
      <w:r w:rsidRPr="00DE5080">
        <w:rPr>
          <w:rStyle w:val="CETCaptionCarattere"/>
        </w:rPr>
        <w:t xml:space="preserve"> </w:t>
      </w:r>
      <w:r>
        <w:rPr>
          <w:rStyle w:val="CETCaptionCarattere"/>
        </w:rPr>
        <w:t>Table 7 (Non-</w:t>
      </w:r>
      <w:r w:rsidRPr="00DE5080">
        <w:rPr>
          <w:rStyle w:val="CETCaptionCarattere"/>
        </w:rPr>
        <w:t>Dangerous fluid</w:t>
      </w:r>
      <w:r w:rsidR="00E82E85">
        <w:rPr>
          <w:rStyle w:val="CETCaptionCarattere"/>
        </w:rPr>
        <w:t>, group 2</w:t>
      </w:r>
      <w:r>
        <w:rPr>
          <w:rStyle w:val="CETCaptionCarattere"/>
        </w:rPr>
        <w:t>)</w:t>
      </w:r>
      <w:r w:rsidR="00F01D94">
        <w:rPr>
          <w:rStyle w:val="CETCaptionCarattere"/>
        </w:rPr>
        <w:t xml:space="preserve"> </w:t>
      </w:r>
      <w:r w:rsidRPr="00DE5080">
        <w:rPr>
          <w:rStyle w:val="CETCaptionCarattere"/>
        </w:rPr>
        <w:t>of Directive PED</w:t>
      </w:r>
      <w:r>
        <w:rPr>
          <w:rStyle w:val="CETCaptionCarattere"/>
        </w:rPr>
        <w:t xml:space="preserve">: </w:t>
      </w:r>
      <w:r w:rsidRPr="00DE5080">
        <w:rPr>
          <w:rStyle w:val="CETCaptionCarattere"/>
        </w:rPr>
        <w:t>identification of risk category of pressure pipes</w:t>
      </w:r>
      <w:r>
        <w:rPr>
          <w:rStyle w:val="CETCaptionCarattere"/>
        </w:rPr>
        <w:t>.</w:t>
      </w:r>
    </w:p>
    <w:p w14:paraId="16AC3644" w14:textId="77777777" w:rsidR="009B0152" w:rsidRPr="00DE5080" w:rsidRDefault="009B0152" w:rsidP="00FF4D3E">
      <w:pPr>
        <w:pStyle w:val="CETBodytext"/>
      </w:pPr>
    </w:p>
    <w:p w14:paraId="0619F732" w14:textId="3E16434A" w:rsidR="003E0F51" w:rsidRDefault="003E0F51" w:rsidP="00FF4D3E">
      <w:pPr>
        <w:pStyle w:val="CETBodytext"/>
        <w:rPr>
          <w:lang w:val="en-GB"/>
        </w:rPr>
      </w:pPr>
      <w:r w:rsidRPr="003E0F51">
        <w:rPr>
          <w:lang w:val="en-GB"/>
        </w:rPr>
        <w:t>It should be noted that for pipes included in tables 6, 7 and 8 the risk category can be: I, II or III; while for pipes falling under table 9 the risk ca</w:t>
      </w:r>
      <w:r>
        <w:rPr>
          <w:lang w:val="en-GB"/>
        </w:rPr>
        <w:t>tegory can be: I or II (f</w:t>
      </w:r>
      <w:r w:rsidRPr="003E0F51">
        <w:rPr>
          <w:lang w:val="en-GB"/>
        </w:rPr>
        <w:t>or more details, please refer to the PED directive for all th</w:t>
      </w:r>
      <w:r>
        <w:rPr>
          <w:lang w:val="en-GB"/>
        </w:rPr>
        <w:t xml:space="preserve">e tables relating to the pipes, i.e. </w:t>
      </w:r>
      <w:r w:rsidRPr="003E0F51">
        <w:rPr>
          <w:lang w:val="en-GB"/>
        </w:rPr>
        <w:t>tables 6,</w:t>
      </w:r>
      <w:r>
        <w:rPr>
          <w:lang w:val="en-GB"/>
        </w:rPr>
        <w:t xml:space="preserve"> </w:t>
      </w:r>
      <w:r w:rsidRPr="003E0F51">
        <w:rPr>
          <w:lang w:val="en-GB"/>
        </w:rPr>
        <w:t>7,</w:t>
      </w:r>
      <w:r>
        <w:rPr>
          <w:lang w:val="en-GB"/>
        </w:rPr>
        <w:t xml:space="preserve"> </w:t>
      </w:r>
      <w:r w:rsidRPr="003E0F51">
        <w:rPr>
          <w:lang w:val="en-GB"/>
        </w:rPr>
        <w:t>8 and 9).</w:t>
      </w:r>
    </w:p>
    <w:p w14:paraId="59504B57" w14:textId="5C198849" w:rsidR="00AD2A74" w:rsidRDefault="00AD2A74" w:rsidP="00FF4D3E">
      <w:pPr>
        <w:pStyle w:val="CETBodytext"/>
        <w:rPr>
          <w:lang w:val="en-GB"/>
        </w:rPr>
      </w:pPr>
      <w:r w:rsidRPr="00FD667C">
        <w:rPr>
          <w:lang w:val="en-GB"/>
        </w:rPr>
        <w:t xml:space="preserve">If pipe fall into the category lower than PED risk category I, it is allowed that the equipment do not follow </w:t>
      </w:r>
      <w:r w:rsidR="00FD667C" w:rsidRPr="00FD667C">
        <w:rPr>
          <w:lang w:val="en-GB"/>
        </w:rPr>
        <w:t xml:space="preserve">the essential safety requirements included in Annex I of </w:t>
      </w:r>
      <w:r w:rsidRPr="00FD667C">
        <w:rPr>
          <w:lang w:val="en-GB"/>
        </w:rPr>
        <w:t>PED directive during the</w:t>
      </w:r>
      <w:r w:rsidR="00FD667C" w:rsidRPr="00FD667C">
        <w:rPr>
          <w:lang w:val="en-GB"/>
        </w:rPr>
        <w:t xml:space="preserve"> design and</w:t>
      </w:r>
      <w:r w:rsidRPr="00FD667C">
        <w:rPr>
          <w:lang w:val="en-GB"/>
        </w:rPr>
        <w:t xml:space="preserve"> construction phase, and the equipment itself can be placed on the market and put into service according to the </w:t>
      </w:r>
      <w:r w:rsidR="00FD667C" w:rsidRPr="00FD667C">
        <w:rPr>
          <w:lang w:val="en-GB"/>
        </w:rPr>
        <w:t>sound engineering</w:t>
      </w:r>
      <w:r w:rsidRPr="00FD667C">
        <w:rPr>
          <w:lang w:val="en-GB"/>
        </w:rPr>
        <w:t xml:space="preserve"> </w:t>
      </w:r>
      <w:r w:rsidRPr="00FD667C">
        <w:rPr>
          <w:lang w:val="en-GB"/>
        </w:rPr>
        <w:lastRenderedPageBreak/>
        <w:t xml:space="preserve">practice in use in the country of manufacture belonging to the EU, thus guaranteeing safety of use (PED 2014/68/EU, art. 4 paragraph 3, </w:t>
      </w:r>
      <w:r w:rsidR="00FD667C" w:rsidRPr="00FD667C">
        <w:rPr>
          <w:lang w:val="en-GB"/>
        </w:rPr>
        <w:t>state</w:t>
      </w:r>
      <w:r w:rsidRPr="00FD667C">
        <w:rPr>
          <w:lang w:val="en-GB"/>
        </w:rPr>
        <w:t xml:space="preserve"> of the art).</w:t>
      </w:r>
    </w:p>
    <w:p w14:paraId="509481A0" w14:textId="6278DF17" w:rsidR="00AD2A74" w:rsidRDefault="00AD2A74" w:rsidP="00FF4D3E">
      <w:pPr>
        <w:pStyle w:val="CETBodytext"/>
        <w:rPr>
          <w:lang w:val="en-GB"/>
        </w:rPr>
      </w:pPr>
      <w:r w:rsidRPr="00AD2A74">
        <w:rPr>
          <w:lang w:val="en-GB"/>
        </w:rPr>
        <w:t>STEP C)</w:t>
      </w:r>
      <w:r>
        <w:rPr>
          <w:lang w:val="en-GB"/>
        </w:rPr>
        <w:t>.</w:t>
      </w:r>
      <w:r w:rsidRPr="00AD2A74">
        <w:rPr>
          <w:lang w:val="en-GB"/>
        </w:rPr>
        <w:t xml:space="preserve"> Carrying out maintenance interventions, internal </w:t>
      </w:r>
      <w:r>
        <w:rPr>
          <w:lang w:val="en-GB"/>
        </w:rPr>
        <w:t xml:space="preserve">checks </w:t>
      </w:r>
      <w:r w:rsidRPr="00AD2A74">
        <w:rPr>
          <w:lang w:val="en-GB"/>
        </w:rPr>
        <w:t xml:space="preserve">and periodic checks </w:t>
      </w:r>
      <w:r>
        <w:rPr>
          <w:lang w:val="en-GB"/>
        </w:rPr>
        <w:t xml:space="preserve">provided </w:t>
      </w:r>
      <w:r w:rsidRPr="00AD2A74">
        <w:rPr>
          <w:lang w:val="en-GB"/>
        </w:rPr>
        <w:t xml:space="preserve">by law, if required (e.g. in Italy periodic checks are regulated by the </w:t>
      </w:r>
      <w:r w:rsidR="00D278B1" w:rsidRPr="00AD2A74">
        <w:rPr>
          <w:lang w:val="en-GB"/>
        </w:rPr>
        <w:t xml:space="preserve">Decree of the Ministry of </w:t>
      </w:r>
      <w:r w:rsidR="00D278B1">
        <w:rPr>
          <w:lang w:val="en-GB"/>
        </w:rPr>
        <w:t xml:space="preserve">Product Activities </w:t>
      </w:r>
      <w:r w:rsidR="00866C5E">
        <w:t>No</w:t>
      </w:r>
      <w:r w:rsidR="00D278B1" w:rsidRPr="00E51D5F">
        <w:t>. 329, issued on December 1, 2004</w:t>
      </w:r>
      <w:r w:rsidR="00D278B1">
        <w:t xml:space="preserve"> and the </w:t>
      </w:r>
      <w:r w:rsidRPr="00AD2A74">
        <w:rPr>
          <w:lang w:val="en-GB"/>
        </w:rPr>
        <w:t xml:space="preserve">Decree of the Ministry of </w:t>
      </w:r>
      <w:r w:rsidR="00FD667C" w:rsidRPr="00AD2A74">
        <w:rPr>
          <w:lang w:val="en-GB"/>
        </w:rPr>
        <w:t>Labour</w:t>
      </w:r>
      <w:r w:rsidRPr="00AD2A74">
        <w:rPr>
          <w:lang w:val="en-GB"/>
        </w:rPr>
        <w:t xml:space="preserve"> and Social Policies issued on April 11, 2011), in order to maintain initial compliance.</w:t>
      </w:r>
    </w:p>
    <w:p w14:paraId="00447728" w14:textId="702D22BA" w:rsidR="00AD2A74" w:rsidRDefault="00B75E89" w:rsidP="00FF4D3E">
      <w:pPr>
        <w:pStyle w:val="CETBodytext"/>
        <w:rPr>
          <w:lang w:val="en-GB"/>
        </w:rPr>
      </w:pPr>
      <w:r w:rsidRPr="00B75E89">
        <w:rPr>
          <w:lang w:val="en-GB"/>
        </w:rPr>
        <w:t>STEP D). The employer carries out the risk assessment of the</w:t>
      </w:r>
      <w:r>
        <w:rPr>
          <w:lang w:val="en-GB"/>
        </w:rPr>
        <w:t xml:space="preserve"> pressure pipes during operating phase</w:t>
      </w:r>
      <w:r w:rsidRPr="00B75E89">
        <w:rPr>
          <w:lang w:val="en-GB"/>
        </w:rPr>
        <w:t>, taking into account the specific working context and in particular taking into account: a) specific conditions and characteristics of the work to be carried out; b) risks present in work</w:t>
      </w:r>
      <w:r>
        <w:rPr>
          <w:lang w:val="en-GB"/>
        </w:rPr>
        <w:t>ing</w:t>
      </w:r>
      <w:r w:rsidRPr="00B75E89">
        <w:rPr>
          <w:lang w:val="en-GB"/>
        </w:rPr>
        <w:t xml:space="preserve"> environment; c) risks arising from the use of the equipme</w:t>
      </w:r>
      <w:r>
        <w:rPr>
          <w:lang w:val="en-GB"/>
        </w:rPr>
        <w:t>nt and installations themselves</w:t>
      </w:r>
      <w:r w:rsidRPr="00B75E89">
        <w:rPr>
          <w:lang w:val="en-GB"/>
        </w:rPr>
        <w:t>; d) risks deriving from interference with other operating equipment.</w:t>
      </w:r>
      <w:r w:rsidR="00DE2E60">
        <w:rPr>
          <w:lang w:val="en-GB"/>
        </w:rPr>
        <w:t xml:space="preserve"> </w:t>
      </w:r>
      <w:r w:rsidR="00DE2E60" w:rsidRPr="00DE2E60">
        <w:rPr>
          <w:lang w:val="en-GB"/>
        </w:rPr>
        <w:t>In the risk assessment it is also necessary to consider the cleaning and maintenance interventions of the pipes, in order to protect the maintenance workers and any other workers and/or exposed people</w:t>
      </w:r>
      <w:r w:rsidR="00DE2E60">
        <w:rPr>
          <w:lang w:val="en-GB"/>
        </w:rPr>
        <w:t>.</w:t>
      </w:r>
    </w:p>
    <w:p w14:paraId="42667897" w14:textId="1DC0F0C8" w:rsidR="00DE2E60" w:rsidRDefault="00DE2E60" w:rsidP="00FF4D3E">
      <w:pPr>
        <w:pStyle w:val="CETBodytext"/>
        <w:rPr>
          <w:lang w:val="en-GB"/>
        </w:rPr>
      </w:pPr>
      <w:r w:rsidRPr="00DE2E60">
        <w:rPr>
          <w:lang w:val="en-GB"/>
        </w:rPr>
        <w:t xml:space="preserve">In this work we will focus on point D), taking for granted and carried out by the employer </w:t>
      </w:r>
      <w:r>
        <w:rPr>
          <w:lang w:val="en-GB"/>
        </w:rPr>
        <w:t xml:space="preserve">what provided in step </w:t>
      </w:r>
      <w:r w:rsidRPr="00DE2E60">
        <w:rPr>
          <w:lang w:val="en-GB"/>
        </w:rPr>
        <w:t>A), B) and C).</w:t>
      </w:r>
    </w:p>
    <w:p w14:paraId="1E3868FE" w14:textId="3BD1BD4A" w:rsidR="003A07DF" w:rsidRPr="00B57B36" w:rsidRDefault="003A07DF" w:rsidP="003A07DF">
      <w:pPr>
        <w:pStyle w:val="CETHeading1"/>
        <w:rPr>
          <w:lang w:val="en-GB"/>
        </w:rPr>
      </w:pPr>
      <w:r w:rsidRPr="003A07DF">
        <w:rPr>
          <w:lang w:val="en-GB"/>
        </w:rPr>
        <w:t xml:space="preserve">Residual risks: measures </w:t>
      </w:r>
      <w:r>
        <w:rPr>
          <w:lang w:val="en-GB"/>
        </w:rPr>
        <w:t>provided</w:t>
      </w:r>
      <w:r w:rsidRPr="003A07DF">
        <w:rPr>
          <w:lang w:val="en-GB"/>
        </w:rPr>
        <w:t xml:space="preserve"> by the m</w:t>
      </w:r>
      <w:r w:rsidR="001D028B">
        <w:rPr>
          <w:lang w:val="en-GB"/>
        </w:rPr>
        <w:t xml:space="preserve">anufacturer and adopted by </w:t>
      </w:r>
      <w:r>
        <w:rPr>
          <w:lang w:val="en-GB"/>
        </w:rPr>
        <w:t>employer</w:t>
      </w:r>
    </w:p>
    <w:p w14:paraId="7D89E2D1" w14:textId="162EDB9A" w:rsidR="003A07DF" w:rsidRDefault="002F6F4A" w:rsidP="003A07DF">
      <w:pPr>
        <w:pStyle w:val="CETBodytext"/>
        <w:rPr>
          <w:lang w:val="en-GB"/>
        </w:rPr>
      </w:pPr>
      <w:r w:rsidRPr="002F6F4A">
        <w:rPr>
          <w:lang w:val="en-GB"/>
        </w:rPr>
        <w:t>The main pr</w:t>
      </w:r>
      <w:r w:rsidR="00D278B1">
        <w:rPr>
          <w:lang w:val="en-GB"/>
        </w:rPr>
        <w:t xml:space="preserve">eventive measures that the </w:t>
      </w:r>
      <w:r w:rsidRPr="002F6F4A">
        <w:rPr>
          <w:lang w:val="en-GB"/>
        </w:rPr>
        <w:t>employer must adopt to prevent residual risks</w:t>
      </w:r>
      <w:r>
        <w:rPr>
          <w:lang w:val="en-GB"/>
        </w:rPr>
        <w:t>,</w:t>
      </w:r>
      <w:r w:rsidRPr="002F6F4A">
        <w:rPr>
          <w:lang w:val="en-GB"/>
        </w:rPr>
        <w:t xml:space="preserve"> during the operati</w:t>
      </w:r>
      <w:r>
        <w:rPr>
          <w:lang w:val="en-GB"/>
        </w:rPr>
        <w:t>ng phase of the pressure pipes,</w:t>
      </w:r>
      <w:r w:rsidRPr="002F6F4A">
        <w:rPr>
          <w:lang w:val="en-GB"/>
        </w:rPr>
        <w:t xml:space="preserve"> are </w:t>
      </w:r>
      <w:r>
        <w:rPr>
          <w:lang w:val="en-GB"/>
        </w:rPr>
        <w:t>described</w:t>
      </w:r>
      <w:r w:rsidRPr="002F6F4A">
        <w:rPr>
          <w:lang w:val="en-GB"/>
        </w:rPr>
        <w:t xml:space="preserve"> by the manufacturer in the use and maintenance instructions</w:t>
      </w:r>
      <w:r w:rsidR="00D278B1">
        <w:rPr>
          <w:lang w:val="en-GB"/>
        </w:rPr>
        <w:t xml:space="preserve"> for pipes with PED certification, and in good practices for pipes built before the introduction of PED Directives.</w:t>
      </w:r>
    </w:p>
    <w:p w14:paraId="403B12B1" w14:textId="5EABF8D7" w:rsidR="002F6F4A" w:rsidRDefault="00A1026F" w:rsidP="003A07DF">
      <w:pPr>
        <w:pStyle w:val="CETBodytext"/>
        <w:rPr>
          <w:lang w:val="en-GB"/>
        </w:rPr>
      </w:pPr>
      <w:r w:rsidRPr="00A1026F">
        <w:rPr>
          <w:lang w:val="en-GB"/>
        </w:rPr>
        <w:t>The following is a sam</w:t>
      </w:r>
      <w:r w:rsidR="00DE0D88">
        <w:rPr>
          <w:lang w:val="en-GB"/>
        </w:rPr>
        <w:t>ple report derived from authors’</w:t>
      </w:r>
      <w:r w:rsidRPr="00A1026F">
        <w:rPr>
          <w:lang w:val="en-GB"/>
        </w:rPr>
        <w:t xml:space="preserve"> field experience.</w:t>
      </w:r>
    </w:p>
    <w:p w14:paraId="3548F0BC" w14:textId="679B9CC9" w:rsidR="002F6F4A" w:rsidRDefault="00354BC9" w:rsidP="00354BC9">
      <w:pPr>
        <w:pStyle w:val="CETBodytext"/>
        <w:numPr>
          <w:ilvl w:val="0"/>
          <w:numId w:val="23"/>
        </w:numPr>
        <w:rPr>
          <w:lang w:val="en-GB"/>
        </w:rPr>
      </w:pPr>
      <w:r w:rsidRPr="00354BC9">
        <w:rPr>
          <w:lang w:val="en-GB"/>
        </w:rPr>
        <w:t>Assembly</w:t>
      </w:r>
    </w:p>
    <w:p w14:paraId="57DAB0EC" w14:textId="420EFB32" w:rsidR="00354BC9" w:rsidRDefault="003E229D" w:rsidP="00354BC9">
      <w:pPr>
        <w:pStyle w:val="CETBodytext"/>
        <w:rPr>
          <w:lang w:val="en-GB"/>
        </w:rPr>
      </w:pPr>
      <w:r w:rsidRPr="003E229D">
        <w:rPr>
          <w:lang w:val="en-GB"/>
        </w:rPr>
        <w:t xml:space="preserve">Carry out the connection of each individual pipe with </w:t>
      </w:r>
      <w:r>
        <w:rPr>
          <w:lang w:val="en-GB"/>
        </w:rPr>
        <w:t>plant</w:t>
      </w:r>
      <w:r w:rsidRPr="003E229D">
        <w:rPr>
          <w:lang w:val="en-GB"/>
        </w:rPr>
        <w:t xml:space="preserve"> lines and/or equipment, installation of pressure accessories, safety accessories, instruments, taking care to foresee</w:t>
      </w:r>
      <w:r>
        <w:rPr>
          <w:lang w:val="en-GB"/>
        </w:rPr>
        <w:t xml:space="preserve">: 1) </w:t>
      </w:r>
      <w:r w:rsidRPr="003E229D">
        <w:rPr>
          <w:lang w:val="en-GB"/>
        </w:rPr>
        <w:t xml:space="preserve">interposition of gaskets of the type required by the class </w:t>
      </w:r>
      <w:r>
        <w:rPr>
          <w:lang w:val="en-GB"/>
        </w:rPr>
        <w:t xml:space="preserve">of pipe </w:t>
      </w:r>
      <w:r w:rsidRPr="003E229D">
        <w:rPr>
          <w:lang w:val="en-GB"/>
        </w:rPr>
        <w:t>used between the flanges of all bolted flanged couplings</w:t>
      </w:r>
      <w:r>
        <w:rPr>
          <w:lang w:val="en-GB"/>
        </w:rPr>
        <w:t xml:space="preserve">; 2) </w:t>
      </w:r>
      <w:r w:rsidRPr="003E229D">
        <w:rPr>
          <w:lang w:val="en-GB"/>
        </w:rPr>
        <w:t>bolts for flanged couplings of the dimensions and type required by the class of pipe used</w:t>
      </w:r>
      <w:r>
        <w:rPr>
          <w:lang w:val="en-GB"/>
        </w:rPr>
        <w:t xml:space="preserve">; 3) </w:t>
      </w:r>
      <w:r w:rsidRPr="003E229D">
        <w:rPr>
          <w:lang w:val="en-GB"/>
        </w:rPr>
        <w:t>tightening of the flanged couplings in accordance with the best practices</w:t>
      </w:r>
      <w:r>
        <w:rPr>
          <w:lang w:val="en-GB"/>
        </w:rPr>
        <w:t xml:space="preserve">; </w:t>
      </w:r>
      <w:r w:rsidRPr="00041BF6">
        <w:rPr>
          <w:lang w:val="en-GB"/>
        </w:rPr>
        <w:t xml:space="preserve">4) </w:t>
      </w:r>
      <w:r w:rsidR="00041BF6" w:rsidRPr="00041BF6">
        <w:rPr>
          <w:lang w:val="en-GB"/>
        </w:rPr>
        <w:t>alignment of the flanges on the vertical or horizontal plane and the parallelism of the flanges themselves</w:t>
      </w:r>
      <w:r w:rsidRPr="00041BF6">
        <w:rPr>
          <w:lang w:val="en-GB"/>
        </w:rPr>
        <w:t>; 5</w:t>
      </w:r>
      <w:r>
        <w:rPr>
          <w:lang w:val="en-GB"/>
        </w:rPr>
        <w:t xml:space="preserve">) </w:t>
      </w:r>
      <w:r w:rsidRPr="003E229D">
        <w:rPr>
          <w:lang w:val="en-GB"/>
        </w:rPr>
        <w:t>visual inspection, when the installation is complete, to ensure that no damage occurred during the lifting and handling of the equipment</w:t>
      </w:r>
      <w:r>
        <w:rPr>
          <w:lang w:val="en-GB"/>
        </w:rPr>
        <w:t xml:space="preserve">; 6) </w:t>
      </w:r>
      <w:r w:rsidRPr="003E229D">
        <w:rPr>
          <w:lang w:val="en-GB"/>
        </w:rPr>
        <w:t>pressure test (hydraulic test and/or appropriate supplementary test).</w:t>
      </w:r>
    </w:p>
    <w:p w14:paraId="08360D02" w14:textId="3FE5F905" w:rsidR="007E2221" w:rsidRDefault="007E2221" w:rsidP="007E2221">
      <w:pPr>
        <w:pStyle w:val="CETBodytext"/>
        <w:numPr>
          <w:ilvl w:val="0"/>
          <w:numId w:val="23"/>
        </w:numPr>
        <w:rPr>
          <w:lang w:val="en-GB"/>
        </w:rPr>
      </w:pPr>
      <w:r>
        <w:rPr>
          <w:lang w:val="en-GB"/>
        </w:rPr>
        <w:t>Commissioning</w:t>
      </w:r>
    </w:p>
    <w:p w14:paraId="0C4286C8" w14:textId="103B5886" w:rsidR="001B033D" w:rsidRDefault="001B033D" w:rsidP="001B033D">
      <w:pPr>
        <w:pStyle w:val="CETBodytext"/>
        <w:rPr>
          <w:lang w:val="en-GB"/>
        </w:rPr>
      </w:pPr>
      <w:r w:rsidRPr="001B033D">
        <w:rPr>
          <w:lang w:val="en-GB"/>
        </w:rPr>
        <w:t>Carry out</w:t>
      </w:r>
      <w:r>
        <w:rPr>
          <w:lang w:val="en-GB"/>
        </w:rPr>
        <w:t xml:space="preserve"> the commissioning</w:t>
      </w:r>
      <w:r w:rsidRPr="001B033D">
        <w:rPr>
          <w:lang w:val="en-GB"/>
        </w:rPr>
        <w:t xml:space="preserve"> of the equipment, checking</w:t>
      </w:r>
      <w:r>
        <w:rPr>
          <w:lang w:val="en-GB"/>
        </w:rPr>
        <w:t xml:space="preserve">: 1) </w:t>
      </w:r>
      <w:r w:rsidRPr="001B033D">
        <w:rPr>
          <w:lang w:val="en-GB"/>
        </w:rPr>
        <w:t xml:space="preserve">functioning and calibration of pressure and temperature measuring instruments (if </w:t>
      </w:r>
      <w:r>
        <w:rPr>
          <w:lang w:val="en-GB"/>
        </w:rPr>
        <w:t>any</w:t>
      </w:r>
      <w:r w:rsidRPr="001B033D">
        <w:rPr>
          <w:lang w:val="en-GB"/>
        </w:rPr>
        <w:t>)</w:t>
      </w:r>
      <w:r>
        <w:rPr>
          <w:lang w:val="en-GB"/>
        </w:rPr>
        <w:t xml:space="preserve">; 2) </w:t>
      </w:r>
      <w:r w:rsidRPr="001B033D">
        <w:rPr>
          <w:lang w:val="en-GB"/>
        </w:rPr>
        <w:t>functioning and calibration of pressure and temperature measuring instruments</w:t>
      </w:r>
      <w:r>
        <w:rPr>
          <w:lang w:val="en-GB"/>
        </w:rPr>
        <w:t xml:space="preserve"> (if any); </w:t>
      </w:r>
      <w:r w:rsidRPr="008B194D">
        <w:rPr>
          <w:lang w:val="en-GB"/>
        </w:rPr>
        <w:t xml:space="preserve">3) </w:t>
      </w:r>
      <w:r w:rsidR="008B194D" w:rsidRPr="008B194D">
        <w:rPr>
          <w:lang w:val="en-GB"/>
        </w:rPr>
        <w:t>complete opening of the shut-off valves placed between the equipment and the safety devices (“PSV” safety valves, if provided) and between the discharge and the PSV (check to be repeated periodically according to current law)</w:t>
      </w:r>
      <w:r w:rsidRPr="008B194D">
        <w:rPr>
          <w:lang w:val="en-GB"/>
        </w:rPr>
        <w:t xml:space="preserve">; </w:t>
      </w:r>
      <w:r>
        <w:rPr>
          <w:lang w:val="en-GB"/>
        </w:rPr>
        <w:t xml:space="preserve">4) </w:t>
      </w:r>
      <w:r w:rsidRPr="001B033D">
        <w:rPr>
          <w:lang w:val="en-GB"/>
        </w:rPr>
        <w:t xml:space="preserve">connection of the </w:t>
      </w:r>
      <w:r>
        <w:rPr>
          <w:lang w:val="en-GB"/>
        </w:rPr>
        <w:t>pipe with the grounding system (</w:t>
      </w:r>
      <w:r w:rsidRPr="001B033D">
        <w:rPr>
          <w:lang w:val="en-GB"/>
        </w:rPr>
        <w:t>if provided</w:t>
      </w:r>
      <w:r w:rsidR="00FC1827">
        <w:rPr>
          <w:lang w:val="en-GB"/>
        </w:rPr>
        <w:t xml:space="preserve">). </w:t>
      </w:r>
      <w:r w:rsidR="00FC1827" w:rsidRPr="00FC1827">
        <w:rPr>
          <w:lang w:val="en-GB"/>
        </w:rPr>
        <w:t>The achievement of the operating pressure in each individual pipe must occur gradually.</w:t>
      </w:r>
    </w:p>
    <w:p w14:paraId="410A8359" w14:textId="7DD8F96E" w:rsidR="00FC1827" w:rsidRDefault="00FC1827" w:rsidP="00FC1827">
      <w:pPr>
        <w:pStyle w:val="CETBodytext"/>
        <w:numPr>
          <w:ilvl w:val="0"/>
          <w:numId w:val="23"/>
        </w:numPr>
        <w:rPr>
          <w:lang w:val="en-GB"/>
        </w:rPr>
      </w:pPr>
      <w:r w:rsidRPr="00FC1827">
        <w:rPr>
          <w:lang w:val="en-GB"/>
        </w:rPr>
        <w:t>Operation of the equipment</w:t>
      </w:r>
    </w:p>
    <w:p w14:paraId="2C269F7F" w14:textId="4835BF22" w:rsidR="000F6D92" w:rsidRDefault="000F6D92" w:rsidP="000F6D92">
      <w:pPr>
        <w:pStyle w:val="CETBodytext"/>
        <w:rPr>
          <w:lang w:val="en-GB"/>
        </w:rPr>
      </w:pPr>
      <w:r w:rsidRPr="000F6D92">
        <w:rPr>
          <w:lang w:val="en-GB"/>
        </w:rPr>
        <w:t>It is important to avoid, during the entire operational life of the equipment</w:t>
      </w:r>
      <w:r>
        <w:rPr>
          <w:lang w:val="en-GB"/>
        </w:rPr>
        <w:t xml:space="preserve">: 1) </w:t>
      </w:r>
      <w:r w:rsidR="00EF50E7" w:rsidRPr="00EF50E7">
        <w:rPr>
          <w:lang w:val="en-GB"/>
        </w:rPr>
        <w:t>exceeding the pressure and temperature limits set by the manufacturer</w:t>
      </w:r>
      <w:r w:rsidR="00EF50E7">
        <w:rPr>
          <w:lang w:val="en-GB"/>
        </w:rPr>
        <w:t xml:space="preserve">; 2) </w:t>
      </w:r>
      <w:r w:rsidR="00EF50E7" w:rsidRPr="00EF50E7">
        <w:rPr>
          <w:lang w:val="en-GB"/>
        </w:rPr>
        <w:t>exceeding the internal/external corrosion margin foreseen by the manufacturer</w:t>
      </w:r>
      <w:r w:rsidR="00EF50E7">
        <w:rPr>
          <w:lang w:val="en-GB"/>
        </w:rPr>
        <w:t xml:space="preserve">; 3) </w:t>
      </w:r>
      <w:r w:rsidR="00EF50E7" w:rsidRPr="00EF50E7">
        <w:rPr>
          <w:lang w:val="en-GB"/>
        </w:rPr>
        <w:t xml:space="preserve">vibrations that can induce fatigue stress on the </w:t>
      </w:r>
      <w:r w:rsidR="005E31AE" w:rsidRPr="005E31AE">
        <w:rPr>
          <w:lang w:val="en-GB"/>
        </w:rPr>
        <w:t>membranes</w:t>
      </w:r>
      <w:r w:rsidR="005E31AE" w:rsidRPr="00EF50E7">
        <w:rPr>
          <w:lang w:val="en-GB"/>
        </w:rPr>
        <w:t xml:space="preserve"> </w:t>
      </w:r>
      <w:r w:rsidR="00EF50E7" w:rsidRPr="00EF50E7">
        <w:rPr>
          <w:lang w:val="en-GB"/>
        </w:rPr>
        <w:t>of the equipment</w:t>
      </w:r>
      <w:r w:rsidR="00EF50E7">
        <w:rPr>
          <w:lang w:val="en-GB"/>
        </w:rPr>
        <w:t>.</w:t>
      </w:r>
    </w:p>
    <w:p w14:paraId="7A6E2AE7" w14:textId="6D22F07D" w:rsidR="00EF50E7" w:rsidRDefault="00EF50E7" w:rsidP="000F6D92">
      <w:pPr>
        <w:pStyle w:val="CETBodytext"/>
        <w:rPr>
          <w:lang w:val="en-GB"/>
        </w:rPr>
      </w:pPr>
      <w:r w:rsidRPr="00EF50E7">
        <w:rPr>
          <w:lang w:val="en-GB"/>
        </w:rPr>
        <w:t>In addition, the pipe, during the entire operating life, must be subjected</w:t>
      </w:r>
      <w:r>
        <w:rPr>
          <w:lang w:val="en-GB"/>
        </w:rPr>
        <w:t xml:space="preserve">: a) </w:t>
      </w:r>
      <w:r w:rsidRPr="00EF50E7">
        <w:rPr>
          <w:lang w:val="en-GB"/>
        </w:rPr>
        <w:t xml:space="preserve">periodic checks in accordance with current </w:t>
      </w:r>
      <w:r>
        <w:rPr>
          <w:lang w:val="en-GB"/>
        </w:rPr>
        <w:t xml:space="preserve">laws; b) </w:t>
      </w:r>
      <w:r w:rsidRPr="00EF50E7">
        <w:rPr>
          <w:lang w:val="en-GB"/>
        </w:rPr>
        <w:t>visual inspection to detect fluid leaks</w:t>
      </w:r>
      <w:r w:rsidR="005E31AE">
        <w:rPr>
          <w:lang w:val="en-GB"/>
        </w:rPr>
        <w:t xml:space="preserve">; c) </w:t>
      </w:r>
      <w:r w:rsidR="005E31AE" w:rsidRPr="005E31AE">
        <w:rPr>
          <w:lang w:val="en-GB"/>
        </w:rPr>
        <w:t>checking the regular functioning of</w:t>
      </w:r>
      <w:r w:rsidR="005E31AE">
        <w:rPr>
          <w:lang w:val="en-GB"/>
        </w:rPr>
        <w:t xml:space="preserve"> the</w:t>
      </w:r>
      <w:r w:rsidR="005E31AE" w:rsidRPr="005E31AE">
        <w:rPr>
          <w:lang w:val="en-GB"/>
        </w:rPr>
        <w:t xml:space="preserve"> pressure and temperature measuring equipment and instruments</w:t>
      </w:r>
      <w:r w:rsidR="005E31AE">
        <w:rPr>
          <w:lang w:val="en-GB"/>
        </w:rPr>
        <w:t xml:space="preserve">; d) </w:t>
      </w:r>
      <w:r w:rsidR="005E31AE" w:rsidRPr="005E31AE">
        <w:rPr>
          <w:lang w:val="en-GB"/>
        </w:rPr>
        <w:t xml:space="preserve">checking the protective layer applied on the external surface (if </w:t>
      </w:r>
      <w:r w:rsidR="005E31AE">
        <w:rPr>
          <w:lang w:val="en-GB"/>
        </w:rPr>
        <w:t>any</w:t>
      </w:r>
      <w:r w:rsidR="005E31AE" w:rsidRPr="005E31AE">
        <w:rPr>
          <w:lang w:val="en-GB"/>
        </w:rPr>
        <w:t>)</w:t>
      </w:r>
      <w:r w:rsidR="005E31AE">
        <w:rPr>
          <w:lang w:val="en-GB"/>
        </w:rPr>
        <w:t xml:space="preserve">; </w:t>
      </w:r>
      <w:r w:rsidR="00095F10">
        <w:rPr>
          <w:lang w:val="en-GB"/>
        </w:rPr>
        <w:t>e</w:t>
      </w:r>
      <w:r w:rsidR="005E31AE">
        <w:rPr>
          <w:lang w:val="en-GB"/>
        </w:rPr>
        <w:t xml:space="preserve">) </w:t>
      </w:r>
      <w:r w:rsidR="005E31AE" w:rsidRPr="005E31AE">
        <w:rPr>
          <w:lang w:val="en-GB"/>
        </w:rPr>
        <w:t>control of the thickness of the pressure membranes</w:t>
      </w:r>
      <w:r w:rsidR="00095F10">
        <w:rPr>
          <w:lang w:val="en-GB"/>
        </w:rPr>
        <w:t xml:space="preserve">; f) </w:t>
      </w:r>
      <w:r w:rsidR="00095F10" w:rsidRPr="00095F10">
        <w:rPr>
          <w:lang w:val="en-GB"/>
        </w:rPr>
        <w:t>checking the functionality and calibration of all safety devices</w:t>
      </w:r>
      <w:r w:rsidR="00095F10">
        <w:rPr>
          <w:lang w:val="en-GB"/>
        </w:rPr>
        <w:t xml:space="preserve">; g) </w:t>
      </w:r>
      <w:r w:rsidR="00095F10" w:rsidRPr="00095F10">
        <w:rPr>
          <w:lang w:val="en-GB"/>
        </w:rPr>
        <w:t>check the tightness of all flange</w:t>
      </w:r>
      <w:r w:rsidR="00095F10">
        <w:rPr>
          <w:lang w:val="en-GB"/>
        </w:rPr>
        <w:t>d</w:t>
      </w:r>
      <w:r w:rsidR="00095F10" w:rsidRPr="00095F10">
        <w:rPr>
          <w:lang w:val="en-GB"/>
        </w:rPr>
        <w:t xml:space="preserve"> connections</w:t>
      </w:r>
      <w:r w:rsidR="00095F10">
        <w:rPr>
          <w:lang w:val="en-GB"/>
        </w:rPr>
        <w:t xml:space="preserve">; h) </w:t>
      </w:r>
      <w:r w:rsidR="00031E6B" w:rsidRPr="00031E6B">
        <w:rPr>
          <w:lang w:val="en-GB"/>
        </w:rPr>
        <w:t xml:space="preserve">check of external insulation (if </w:t>
      </w:r>
      <w:r w:rsidR="00031E6B">
        <w:rPr>
          <w:lang w:val="en-GB"/>
        </w:rPr>
        <w:t>any</w:t>
      </w:r>
      <w:r w:rsidR="00031E6B" w:rsidRPr="00031E6B">
        <w:rPr>
          <w:lang w:val="en-GB"/>
        </w:rPr>
        <w:t>)</w:t>
      </w:r>
      <w:r w:rsidR="00031E6B">
        <w:rPr>
          <w:lang w:val="en-GB"/>
        </w:rPr>
        <w:t xml:space="preserve">. </w:t>
      </w:r>
      <w:r w:rsidR="00031E6B" w:rsidRPr="00031E6B">
        <w:rPr>
          <w:lang w:val="en-GB"/>
        </w:rPr>
        <w:t>Control activities and maintenance interventions, appropriately recorded, must be carried out by specially trained personnel</w:t>
      </w:r>
      <w:r w:rsidR="00031E6B">
        <w:rPr>
          <w:lang w:val="en-GB"/>
        </w:rPr>
        <w:t xml:space="preserve">. </w:t>
      </w:r>
      <w:r w:rsidR="00031E6B" w:rsidRPr="00031E6B">
        <w:rPr>
          <w:lang w:val="en-GB"/>
        </w:rPr>
        <w:t>Furthermore, the employer must pay attention</w:t>
      </w:r>
      <w:r w:rsidR="00E91FE2">
        <w:rPr>
          <w:lang w:val="en-GB"/>
        </w:rPr>
        <w:t xml:space="preserve"> to</w:t>
      </w:r>
      <w:r w:rsidR="00031E6B">
        <w:rPr>
          <w:lang w:val="en-GB"/>
        </w:rPr>
        <w:t xml:space="preserve">: 1) </w:t>
      </w:r>
      <w:r w:rsidR="00031E6B" w:rsidRPr="00031E6B">
        <w:rPr>
          <w:lang w:val="en-GB"/>
        </w:rPr>
        <w:t xml:space="preserve">permissible corrosion </w:t>
      </w:r>
      <w:r w:rsidR="00031E6B">
        <w:rPr>
          <w:lang w:val="en-GB"/>
        </w:rPr>
        <w:t>according to</w:t>
      </w:r>
      <w:r w:rsidR="00DE0D88">
        <w:rPr>
          <w:lang w:val="en-GB"/>
        </w:rPr>
        <w:t xml:space="preserve"> the manufacturer’</w:t>
      </w:r>
      <w:r w:rsidR="00031E6B" w:rsidRPr="00031E6B">
        <w:rPr>
          <w:lang w:val="en-GB"/>
        </w:rPr>
        <w:t>s recommendations</w:t>
      </w:r>
      <w:r w:rsidR="00031E6B">
        <w:rPr>
          <w:lang w:val="en-GB"/>
        </w:rPr>
        <w:t xml:space="preserve">; 2) </w:t>
      </w:r>
      <w:r w:rsidR="00031E6B" w:rsidRPr="00031E6B">
        <w:rPr>
          <w:lang w:val="en-GB"/>
        </w:rPr>
        <w:t xml:space="preserve">permissible fatigue according to the manufacturer’s recommendations and the good </w:t>
      </w:r>
      <w:r w:rsidR="00FD667C">
        <w:rPr>
          <w:lang w:val="en-GB"/>
        </w:rPr>
        <w:t>state</w:t>
      </w:r>
      <w:r w:rsidR="00031E6B" w:rsidRPr="00031E6B">
        <w:rPr>
          <w:lang w:val="en-GB"/>
        </w:rPr>
        <w:t xml:space="preserve"> of art</w:t>
      </w:r>
      <w:r w:rsidR="00031E6B">
        <w:rPr>
          <w:lang w:val="en-GB"/>
        </w:rPr>
        <w:t xml:space="preserve">; 3) </w:t>
      </w:r>
      <w:r w:rsidR="00031E6B" w:rsidRPr="00031E6B">
        <w:rPr>
          <w:lang w:val="en-GB"/>
        </w:rPr>
        <w:t>permissible viscous creep</w:t>
      </w:r>
      <w:r w:rsidR="00133749">
        <w:rPr>
          <w:lang w:val="en-GB"/>
        </w:rPr>
        <w:t>,</w:t>
      </w:r>
      <w:r w:rsidR="00031E6B" w:rsidRPr="00031E6B">
        <w:rPr>
          <w:lang w:val="en-GB"/>
        </w:rPr>
        <w:t xml:space="preserve"> according to the number of operating hours</w:t>
      </w:r>
      <w:r w:rsidR="00031E6B">
        <w:rPr>
          <w:lang w:val="en-GB"/>
        </w:rPr>
        <w:t>,</w:t>
      </w:r>
      <w:r w:rsidR="00031E6B" w:rsidRPr="00031E6B">
        <w:rPr>
          <w:lang w:val="en-GB"/>
        </w:rPr>
        <w:t xml:space="preserve"> at the specified temperatures</w:t>
      </w:r>
      <w:r w:rsidR="00031E6B">
        <w:rPr>
          <w:lang w:val="en-GB"/>
        </w:rPr>
        <w:t>,</w:t>
      </w:r>
      <w:r w:rsidR="00031E6B" w:rsidRPr="00031E6B">
        <w:rPr>
          <w:lang w:val="en-GB"/>
        </w:rPr>
        <w:t xml:space="preserve"> recommended by the manufacturer.</w:t>
      </w:r>
    </w:p>
    <w:p w14:paraId="07E5E6D4" w14:textId="05424EBC" w:rsidR="00FC1827" w:rsidRDefault="00FC1827" w:rsidP="00FC1827">
      <w:pPr>
        <w:pStyle w:val="CETBodytext"/>
        <w:numPr>
          <w:ilvl w:val="0"/>
          <w:numId w:val="23"/>
        </w:numPr>
        <w:rPr>
          <w:lang w:val="en-GB"/>
        </w:rPr>
      </w:pPr>
      <w:r w:rsidRPr="00FC1827">
        <w:rPr>
          <w:lang w:val="en-GB"/>
        </w:rPr>
        <w:t>Repair and modification interventions</w:t>
      </w:r>
    </w:p>
    <w:p w14:paraId="2914EC0E" w14:textId="2973C928" w:rsidR="00FC1827" w:rsidRDefault="00FC1827" w:rsidP="00FC1827">
      <w:pPr>
        <w:pStyle w:val="CETBodytext"/>
        <w:rPr>
          <w:lang w:val="en-GB"/>
        </w:rPr>
      </w:pPr>
      <w:r w:rsidRPr="00FC1827">
        <w:rPr>
          <w:lang w:val="en-GB"/>
        </w:rPr>
        <w:t xml:space="preserve">Manage repairs and/or modifications to the </w:t>
      </w:r>
      <w:r>
        <w:rPr>
          <w:lang w:val="en-GB"/>
        </w:rPr>
        <w:t xml:space="preserve">pipe </w:t>
      </w:r>
      <w:r w:rsidRPr="00FC1827">
        <w:rPr>
          <w:lang w:val="en-GB"/>
        </w:rPr>
        <w:t>during its entire operational life according to technical and legal regulations.</w:t>
      </w:r>
    </w:p>
    <w:p w14:paraId="3AE9DBD7" w14:textId="38A39B67" w:rsidR="00FC1827" w:rsidRPr="00FC1827" w:rsidRDefault="00FC1827" w:rsidP="00FC1827">
      <w:pPr>
        <w:pStyle w:val="CETBodytext"/>
        <w:numPr>
          <w:ilvl w:val="0"/>
          <w:numId w:val="23"/>
        </w:numPr>
        <w:rPr>
          <w:lang w:val="en-GB"/>
        </w:rPr>
      </w:pPr>
      <w:r>
        <w:rPr>
          <w:lang w:val="en-GB"/>
        </w:rPr>
        <w:t>Disposal</w:t>
      </w:r>
    </w:p>
    <w:p w14:paraId="4A482D5E" w14:textId="4A0F03A3" w:rsidR="002F6F4A" w:rsidRDefault="00FC1827" w:rsidP="003A07DF">
      <w:pPr>
        <w:pStyle w:val="CETBodytext"/>
        <w:rPr>
          <w:lang w:val="en-GB"/>
        </w:rPr>
      </w:pPr>
      <w:r w:rsidRPr="00FC1827">
        <w:rPr>
          <w:lang w:val="en-GB"/>
        </w:rPr>
        <w:t>The employer, as prescribed by the manufacturer, will carry out, at the end of the expected life, the safe decommissioning of the pipe by carrying out the appropriate reclamation operations of the surfaces wetted by the fluid, the collection of the discharged fluids, the elimination of the insulation and the disposal of materials in accordance with current regulations.</w:t>
      </w:r>
    </w:p>
    <w:p w14:paraId="5741900F" w14:textId="145824DC" w:rsidR="00453E24" w:rsidRPr="009233E7" w:rsidRDefault="00E86603" w:rsidP="00E86603">
      <w:pPr>
        <w:pStyle w:val="CETHeading1"/>
      </w:pPr>
      <w:r w:rsidRPr="009233E7">
        <w:lastRenderedPageBreak/>
        <w:t>Method for risk assessment of pressure pipes during operating phase</w:t>
      </w:r>
    </w:p>
    <w:p w14:paraId="0636B784" w14:textId="7ECABEC1" w:rsidR="00453E24" w:rsidRDefault="00453E24" w:rsidP="00E86603">
      <w:pPr>
        <w:pStyle w:val="CETBodytext"/>
      </w:pPr>
      <w:r w:rsidRPr="009233E7">
        <w:t>The</w:t>
      </w:r>
      <w:r w:rsidR="00E86603" w:rsidRPr="009233E7">
        <w:t xml:space="preserve"> method used</w:t>
      </w:r>
      <w:r w:rsidR="009233E7" w:rsidRPr="009233E7">
        <w:t xml:space="preserve"> assigns a value to the risk level “R” of a dangerous phenomenon by composing the severity of the damage or magnitude</w:t>
      </w:r>
      <w:r w:rsidR="009233E7">
        <w:t>,</w:t>
      </w:r>
      <w:r w:rsidR="009233E7" w:rsidRPr="009233E7">
        <w:t xml:space="preserve"> “D”</w:t>
      </w:r>
      <w:r w:rsidR="009233E7">
        <w:t>,</w:t>
      </w:r>
      <w:r w:rsidR="009233E7" w:rsidRPr="009233E7">
        <w:t xml:space="preserve"> and the probability</w:t>
      </w:r>
      <w:r w:rsidR="009233E7">
        <w:t>,</w:t>
      </w:r>
      <w:r w:rsidR="009233E7" w:rsidRPr="009233E7">
        <w:t xml:space="preserve"> “P”</w:t>
      </w:r>
      <w:r w:rsidR="009233E7">
        <w:t>,</w:t>
      </w:r>
      <w:r w:rsidR="009233E7" w:rsidRPr="009233E7">
        <w:t xml:space="preserve"> that this </w:t>
      </w:r>
      <w:r w:rsidR="009233E7">
        <w:t>could occur:</w:t>
      </w:r>
    </w:p>
    <w:tbl>
      <w:tblPr>
        <w:tblW w:w="5000" w:type="pct"/>
        <w:tblLook w:val="04A0" w:firstRow="1" w:lastRow="0" w:firstColumn="1" w:lastColumn="0" w:noHBand="0" w:noVBand="1"/>
      </w:tblPr>
      <w:tblGrid>
        <w:gridCol w:w="8188"/>
        <w:gridCol w:w="815"/>
      </w:tblGrid>
      <w:tr w:rsidR="009233E7" w:rsidRPr="00B57B36" w14:paraId="0BB3519C" w14:textId="77777777" w:rsidTr="007A360A">
        <w:tc>
          <w:tcPr>
            <w:tcW w:w="8188" w:type="dxa"/>
            <w:shd w:val="clear" w:color="auto" w:fill="auto"/>
            <w:vAlign w:val="center"/>
          </w:tcPr>
          <w:p w14:paraId="087A2F24" w14:textId="7CC119D8" w:rsidR="009233E7" w:rsidRPr="009233E7" w:rsidRDefault="009233E7" w:rsidP="007A360A">
            <w:pPr>
              <w:pStyle w:val="CETEquation"/>
            </w:pPr>
            <w:r w:rsidRPr="009233E7">
              <w:t>R = D x P</w:t>
            </w:r>
          </w:p>
        </w:tc>
        <w:tc>
          <w:tcPr>
            <w:tcW w:w="815" w:type="dxa"/>
            <w:shd w:val="clear" w:color="auto" w:fill="auto"/>
            <w:vAlign w:val="center"/>
          </w:tcPr>
          <w:p w14:paraId="526F1CDE" w14:textId="77777777" w:rsidR="009233E7" w:rsidRPr="00B57B36" w:rsidRDefault="009233E7" w:rsidP="007A360A">
            <w:pPr>
              <w:pStyle w:val="CETEquation"/>
              <w:jc w:val="right"/>
            </w:pPr>
            <w:r w:rsidRPr="00B57B36">
              <w:t>(1)</w:t>
            </w:r>
          </w:p>
        </w:tc>
      </w:tr>
    </w:tbl>
    <w:p w14:paraId="3B45886E" w14:textId="628ECBED" w:rsidR="009233E7" w:rsidRDefault="009233E7" w:rsidP="00E86603">
      <w:pPr>
        <w:pStyle w:val="CETBodytext"/>
      </w:pPr>
      <w:r>
        <w:t xml:space="preserve">Equation (1), </w:t>
      </w:r>
      <w:r w:rsidRPr="009233E7">
        <w:t>simple in its conception</w:t>
      </w:r>
      <w:r>
        <w:t xml:space="preserve">, </w:t>
      </w:r>
      <w:r w:rsidRPr="009233E7">
        <w:t>is difficult to use in practice to determine the risk level of each pressure pipe</w:t>
      </w:r>
      <w:r>
        <w:t xml:space="preserve">. </w:t>
      </w:r>
      <w:r w:rsidRPr="009233E7">
        <w:t>Therefore, an index method is proposed to determine the level of risk</w:t>
      </w:r>
      <w:r>
        <w:t xml:space="preserve"> o</w:t>
      </w:r>
      <w:r w:rsidRPr="009233E7">
        <w:t xml:space="preserve">f </w:t>
      </w:r>
      <w:r w:rsidR="0030145E">
        <w:t xml:space="preserve">pressure pipe </w:t>
      </w:r>
      <w:r>
        <w:t>by the following equation</w:t>
      </w:r>
      <w:r w:rsidR="00D01E77">
        <w:t xml:space="preserve"> (</w:t>
      </w:r>
      <w:proofErr w:type="spellStart"/>
      <w:r w:rsidR="00D01E77">
        <w:t>Muratore</w:t>
      </w:r>
      <w:proofErr w:type="spellEnd"/>
      <w:r w:rsidR="00D01E77">
        <w:t xml:space="preserve"> et al., 2021)</w:t>
      </w:r>
      <w:r>
        <w:t xml:space="preserve">: </w:t>
      </w:r>
    </w:p>
    <w:tbl>
      <w:tblPr>
        <w:tblW w:w="5000" w:type="pct"/>
        <w:tblLook w:val="04A0" w:firstRow="1" w:lastRow="0" w:firstColumn="1" w:lastColumn="0" w:noHBand="0" w:noVBand="1"/>
      </w:tblPr>
      <w:tblGrid>
        <w:gridCol w:w="8188"/>
        <w:gridCol w:w="815"/>
      </w:tblGrid>
      <w:tr w:rsidR="009233E7" w:rsidRPr="00B57B36" w14:paraId="1FF33AA0" w14:textId="77777777" w:rsidTr="007A360A">
        <w:tc>
          <w:tcPr>
            <w:tcW w:w="8188" w:type="dxa"/>
            <w:shd w:val="clear" w:color="auto" w:fill="auto"/>
            <w:vAlign w:val="center"/>
          </w:tcPr>
          <w:p w14:paraId="2D0CC238" w14:textId="1EFD177A" w:rsidR="009233E7" w:rsidRPr="009233E7" w:rsidRDefault="009233E7" w:rsidP="00305F86">
            <w:pPr>
              <w:pStyle w:val="CETEquation"/>
            </w:pPr>
            <w:r w:rsidRPr="009233E7">
              <w:t>I</w:t>
            </w:r>
            <w:r w:rsidRPr="009233E7">
              <w:rPr>
                <w:vertAlign w:val="subscript"/>
              </w:rPr>
              <w:t>R</w:t>
            </w:r>
            <w:r w:rsidRPr="009233E7">
              <w:t xml:space="preserve"> = I</w:t>
            </w:r>
            <w:r w:rsidRPr="009233E7">
              <w:rPr>
                <w:vertAlign w:val="subscript"/>
              </w:rPr>
              <w:t>D</w:t>
            </w:r>
            <w:r w:rsidRPr="009233E7">
              <w:t xml:space="preserve"> </w:t>
            </w:r>
            <w:r w:rsidR="00305F86">
              <w:t xml:space="preserve">* </w:t>
            </w:r>
            <w:r w:rsidRPr="009233E7">
              <w:t>I</w:t>
            </w:r>
            <w:r w:rsidRPr="009233E7">
              <w:rPr>
                <w:vertAlign w:val="subscript"/>
              </w:rPr>
              <w:t>P</w:t>
            </w:r>
          </w:p>
        </w:tc>
        <w:tc>
          <w:tcPr>
            <w:tcW w:w="815" w:type="dxa"/>
            <w:shd w:val="clear" w:color="auto" w:fill="auto"/>
            <w:vAlign w:val="center"/>
          </w:tcPr>
          <w:p w14:paraId="5D83AF91" w14:textId="28E30253" w:rsidR="009233E7" w:rsidRPr="00B57B36" w:rsidRDefault="009233E7" w:rsidP="009233E7">
            <w:pPr>
              <w:pStyle w:val="CETEquation"/>
              <w:jc w:val="right"/>
            </w:pPr>
            <w:r w:rsidRPr="00B57B36">
              <w:t>(</w:t>
            </w:r>
            <w:r>
              <w:t>2</w:t>
            </w:r>
            <w:r w:rsidRPr="00B57B36">
              <w:t>)</w:t>
            </w:r>
          </w:p>
        </w:tc>
      </w:tr>
    </w:tbl>
    <w:p w14:paraId="7B066BCD" w14:textId="56B87AB4" w:rsidR="009233E7" w:rsidRDefault="009233E7" w:rsidP="0030145E">
      <w:pPr>
        <w:pStyle w:val="CETBodytext"/>
      </w:pPr>
      <w:r w:rsidRPr="009233E7">
        <w:t>wh</w:t>
      </w:r>
      <w:r w:rsidR="0030145E">
        <w:t>ere I</w:t>
      </w:r>
      <w:r w:rsidR="0030145E" w:rsidRPr="0030145E">
        <w:rPr>
          <w:vertAlign w:val="subscript"/>
        </w:rPr>
        <w:t>R</w:t>
      </w:r>
      <w:r w:rsidRPr="009233E7">
        <w:t xml:space="preserve"> is the </w:t>
      </w:r>
      <w:r w:rsidR="0030145E">
        <w:t xml:space="preserve">pressure pipe </w:t>
      </w:r>
      <w:r w:rsidRPr="009233E7">
        <w:t xml:space="preserve">risk index, </w:t>
      </w:r>
      <w:r w:rsidR="0030145E">
        <w:t>I</w:t>
      </w:r>
      <w:r w:rsidR="0030145E">
        <w:rPr>
          <w:vertAlign w:val="subscript"/>
        </w:rPr>
        <w:t>D</w:t>
      </w:r>
      <w:r w:rsidR="0030145E" w:rsidRPr="009233E7">
        <w:t xml:space="preserve"> is the </w:t>
      </w:r>
      <w:r w:rsidR="0030145E">
        <w:t xml:space="preserve">severity </w:t>
      </w:r>
      <w:r w:rsidR="0030145E" w:rsidRPr="009233E7">
        <w:t>index</w:t>
      </w:r>
      <w:r w:rsidR="0030145E">
        <w:t xml:space="preserve"> of the </w:t>
      </w:r>
      <w:r w:rsidR="0030145E" w:rsidRPr="009233E7">
        <w:t>damage</w:t>
      </w:r>
      <w:r w:rsidR="0030145E">
        <w:t xml:space="preserve"> and  I</w:t>
      </w:r>
      <w:r w:rsidR="0030145E">
        <w:rPr>
          <w:vertAlign w:val="subscript"/>
        </w:rPr>
        <w:t>P</w:t>
      </w:r>
      <w:r w:rsidR="0030145E" w:rsidRPr="009233E7">
        <w:t xml:space="preserve"> is </w:t>
      </w:r>
      <w:r w:rsidRPr="009233E7">
        <w:t xml:space="preserve">the probability index </w:t>
      </w:r>
      <w:r w:rsidR="0030145E">
        <w:t xml:space="preserve">of the </w:t>
      </w:r>
      <w:r w:rsidR="0030145E" w:rsidRPr="009233E7">
        <w:t>damage</w:t>
      </w:r>
      <w:r w:rsidR="0030145E">
        <w:t>.</w:t>
      </w:r>
    </w:p>
    <w:p w14:paraId="18BAFA6F" w14:textId="35741EC2" w:rsidR="00453E24" w:rsidRDefault="00021151" w:rsidP="00021151">
      <w:pPr>
        <w:pStyle w:val="CETheadingx"/>
      </w:pPr>
      <w:r>
        <w:t>S</w:t>
      </w:r>
      <w:r w:rsidRPr="00021151">
        <w:t>everity index of the damage I</w:t>
      </w:r>
      <w:r w:rsidRPr="00021151">
        <w:rPr>
          <w:vertAlign w:val="subscript"/>
        </w:rPr>
        <w:t>D</w:t>
      </w:r>
      <w:r w:rsidRPr="00021151">
        <w:t xml:space="preserve"> </w:t>
      </w:r>
    </w:p>
    <w:p w14:paraId="417E6A4E" w14:textId="3F76DCD4" w:rsidR="00021151" w:rsidRDefault="00021151" w:rsidP="00021151">
      <w:pPr>
        <w:pStyle w:val="CETBodytext"/>
      </w:pPr>
      <w:r w:rsidRPr="00021151">
        <w:t>The severity index</w:t>
      </w:r>
      <w:r w:rsidR="006E76D8">
        <w:t xml:space="preserve"> of the damage</w:t>
      </w:r>
      <w:r>
        <w:t>, I</w:t>
      </w:r>
      <w:r>
        <w:rPr>
          <w:vertAlign w:val="subscript"/>
        </w:rPr>
        <w:t>D</w:t>
      </w:r>
      <w:r>
        <w:t xml:space="preserve">, is related to </w:t>
      </w:r>
      <w:r w:rsidRPr="00021151">
        <w:t>I</w:t>
      </w:r>
      <w:r>
        <w:rPr>
          <w:vertAlign w:val="subscript"/>
        </w:rPr>
        <w:t>C</w:t>
      </w:r>
      <w:r>
        <w:t>,</w:t>
      </w:r>
      <w:r w:rsidRPr="00021151">
        <w:t xml:space="preserve"> which is the PED category index of the pipe:</w:t>
      </w:r>
    </w:p>
    <w:tbl>
      <w:tblPr>
        <w:tblW w:w="5000" w:type="pct"/>
        <w:tblLook w:val="04A0" w:firstRow="1" w:lastRow="0" w:firstColumn="1" w:lastColumn="0" w:noHBand="0" w:noVBand="1"/>
      </w:tblPr>
      <w:tblGrid>
        <w:gridCol w:w="8188"/>
        <w:gridCol w:w="815"/>
      </w:tblGrid>
      <w:tr w:rsidR="00021151" w:rsidRPr="00B57B36" w14:paraId="528FF4D4" w14:textId="77777777" w:rsidTr="007A360A">
        <w:tc>
          <w:tcPr>
            <w:tcW w:w="8188" w:type="dxa"/>
            <w:shd w:val="clear" w:color="auto" w:fill="auto"/>
            <w:vAlign w:val="center"/>
          </w:tcPr>
          <w:p w14:paraId="14CC57C4" w14:textId="6973550A" w:rsidR="00021151" w:rsidRPr="009233E7" w:rsidRDefault="00021151" w:rsidP="00021151">
            <w:pPr>
              <w:pStyle w:val="CETEquation"/>
            </w:pPr>
            <w:r w:rsidRPr="009233E7">
              <w:t>I</w:t>
            </w:r>
            <w:r>
              <w:rPr>
                <w:vertAlign w:val="subscript"/>
              </w:rPr>
              <w:t>D</w:t>
            </w:r>
            <w:r w:rsidRPr="009233E7">
              <w:t xml:space="preserve"> = I</w:t>
            </w:r>
            <w:r>
              <w:rPr>
                <w:vertAlign w:val="subscript"/>
              </w:rPr>
              <w:t>C</w:t>
            </w:r>
          </w:p>
        </w:tc>
        <w:tc>
          <w:tcPr>
            <w:tcW w:w="815" w:type="dxa"/>
            <w:shd w:val="clear" w:color="auto" w:fill="auto"/>
            <w:vAlign w:val="center"/>
          </w:tcPr>
          <w:p w14:paraId="7E4FB2EC" w14:textId="6D38E15C" w:rsidR="00021151" w:rsidRPr="00B57B36" w:rsidRDefault="00021151" w:rsidP="007A360A">
            <w:pPr>
              <w:pStyle w:val="CETEquation"/>
              <w:jc w:val="right"/>
            </w:pPr>
            <w:r w:rsidRPr="00B57B36">
              <w:t>(</w:t>
            </w:r>
            <w:r>
              <w:t>3</w:t>
            </w:r>
            <w:r w:rsidRPr="00B57B36">
              <w:t>)</w:t>
            </w:r>
          </w:p>
        </w:tc>
      </w:tr>
    </w:tbl>
    <w:p w14:paraId="42CCCC9F" w14:textId="6EF51FD2" w:rsidR="00021151" w:rsidRDefault="00B35A0A" w:rsidP="00021151">
      <w:pPr>
        <w:pStyle w:val="CETBodytext"/>
      </w:pPr>
      <w:r>
        <w:t>A</w:t>
      </w:r>
      <w:r w:rsidRPr="00B35A0A">
        <w:t>uthors propose to assign integers fro</w:t>
      </w:r>
      <w:r>
        <w:t>m 1 to 5 to the category index I</w:t>
      </w:r>
      <w:r w:rsidRPr="00B35A0A">
        <w:rPr>
          <w:vertAlign w:val="subscript"/>
        </w:rPr>
        <w:t>C</w:t>
      </w:r>
      <w:r w:rsidRPr="006E76D8">
        <w:t>,</w:t>
      </w:r>
      <w:r w:rsidRPr="00B35A0A">
        <w:t xml:space="preserve"> matching the risk category PED to the possible damage size, as detailed in Table 1.</w:t>
      </w:r>
    </w:p>
    <w:p w14:paraId="3681F5B1" w14:textId="77777777" w:rsidR="00B35A0A" w:rsidRPr="00B57B36" w:rsidRDefault="00B35A0A" w:rsidP="00B35A0A">
      <w:pPr>
        <w:pStyle w:val="CETTabletitle"/>
      </w:pPr>
      <w:r w:rsidRPr="00B57B36">
        <w:t xml:space="preserve">Table 1: </w:t>
      </w:r>
      <w:r w:rsidRPr="00B42A75">
        <w:t>I</w:t>
      </w:r>
      <w:r w:rsidRPr="00B42A75">
        <w:rPr>
          <w:vertAlign w:val="subscript"/>
        </w:rPr>
        <w:t>c</w:t>
      </w:r>
      <w:r w:rsidRPr="00B42A75">
        <w:t xml:space="preserve"> PED category index</w:t>
      </w:r>
    </w:p>
    <w:tbl>
      <w:tblPr>
        <w:tblW w:w="850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985"/>
        <w:gridCol w:w="5245"/>
      </w:tblGrid>
      <w:tr w:rsidR="00B35A0A" w:rsidRPr="00B57B36" w14:paraId="111353DE" w14:textId="77777777" w:rsidTr="007A360A">
        <w:trPr>
          <w:trHeight w:val="212"/>
        </w:trPr>
        <w:tc>
          <w:tcPr>
            <w:tcW w:w="1276" w:type="dxa"/>
            <w:tcBorders>
              <w:top w:val="single" w:sz="12" w:space="0" w:color="008000"/>
              <w:bottom w:val="single" w:sz="6" w:space="0" w:color="008000"/>
            </w:tcBorders>
            <w:shd w:val="clear" w:color="auto" w:fill="FFFFFF"/>
          </w:tcPr>
          <w:p w14:paraId="32BB4A70" w14:textId="77777777" w:rsidR="00B35A0A" w:rsidRPr="00B254BE" w:rsidRDefault="00B35A0A" w:rsidP="007A360A">
            <w:pPr>
              <w:pStyle w:val="CETBodytext"/>
              <w:jc w:val="center"/>
              <w:rPr>
                <w:sz w:val="16"/>
                <w:szCs w:val="18"/>
                <w:lang w:val="en-GB"/>
              </w:rPr>
            </w:pPr>
            <w:r w:rsidRPr="00B254BE">
              <w:rPr>
                <w:sz w:val="16"/>
                <w:szCs w:val="18"/>
                <w:lang w:val="en-GB"/>
              </w:rPr>
              <w:t>I</w:t>
            </w:r>
            <w:r w:rsidRPr="00B254BE">
              <w:rPr>
                <w:sz w:val="16"/>
                <w:szCs w:val="18"/>
                <w:vertAlign w:val="subscript"/>
                <w:lang w:val="en-GB"/>
              </w:rPr>
              <w:t>c</w:t>
            </w:r>
            <w:r w:rsidRPr="00B254BE">
              <w:rPr>
                <w:sz w:val="16"/>
                <w:szCs w:val="18"/>
                <w:lang w:val="en-GB"/>
              </w:rPr>
              <w:t xml:space="preserve"> (*)</w:t>
            </w:r>
          </w:p>
        </w:tc>
        <w:tc>
          <w:tcPr>
            <w:tcW w:w="1985" w:type="dxa"/>
            <w:tcBorders>
              <w:top w:val="single" w:sz="12" w:space="0" w:color="008000"/>
              <w:bottom w:val="single" w:sz="6" w:space="0" w:color="008000"/>
            </w:tcBorders>
            <w:shd w:val="clear" w:color="auto" w:fill="FFFFFF"/>
          </w:tcPr>
          <w:p w14:paraId="56237AEF" w14:textId="77777777" w:rsidR="00B35A0A" w:rsidRPr="00B254BE" w:rsidRDefault="00B35A0A" w:rsidP="007A360A">
            <w:pPr>
              <w:pStyle w:val="CETBodytext"/>
              <w:jc w:val="center"/>
              <w:rPr>
                <w:sz w:val="16"/>
                <w:szCs w:val="18"/>
                <w:lang w:val="en-GB"/>
              </w:rPr>
            </w:pPr>
            <w:r w:rsidRPr="00B254BE">
              <w:rPr>
                <w:sz w:val="16"/>
                <w:szCs w:val="18"/>
                <w:lang w:val="en-GB"/>
              </w:rPr>
              <w:t>PED Risk Category</w:t>
            </w:r>
          </w:p>
        </w:tc>
        <w:tc>
          <w:tcPr>
            <w:tcW w:w="5245" w:type="dxa"/>
            <w:tcBorders>
              <w:top w:val="single" w:sz="12" w:space="0" w:color="008000"/>
              <w:bottom w:val="single" w:sz="6" w:space="0" w:color="008000"/>
            </w:tcBorders>
            <w:shd w:val="clear" w:color="auto" w:fill="FFFFFF"/>
          </w:tcPr>
          <w:p w14:paraId="2A301145" w14:textId="77777777" w:rsidR="00B35A0A" w:rsidRPr="00B254BE" w:rsidRDefault="00B35A0A" w:rsidP="007A360A">
            <w:pPr>
              <w:pStyle w:val="CETBodytext"/>
              <w:jc w:val="center"/>
              <w:rPr>
                <w:sz w:val="16"/>
                <w:szCs w:val="18"/>
                <w:lang w:val="en-GB"/>
              </w:rPr>
            </w:pPr>
            <w:r w:rsidRPr="00B254BE">
              <w:rPr>
                <w:sz w:val="16"/>
                <w:szCs w:val="18"/>
                <w:lang w:val="en-GB"/>
              </w:rPr>
              <w:t>Size of damage</w:t>
            </w:r>
          </w:p>
        </w:tc>
      </w:tr>
      <w:tr w:rsidR="00B35A0A" w:rsidRPr="00B57B36" w14:paraId="54BB95A8" w14:textId="77777777" w:rsidTr="007A360A">
        <w:trPr>
          <w:trHeight w:val="212"/>
        </w:trPr>
        <w:tc>
          <w:tcPr>
            <w:tcW w:w="1276" w:type="dxa"/>
            <w:shd w:val="clear" w:color="auto" w:fill="FFFFFF"/>
          </w:tcPr>
          <w:p w14:paraId="2D853049" w14:textId="77777777" w:rsidR="00B35A0A" w:rsidRPr="00B254BE" w:rsidRDefault="00B35A0A" w:rsidP="007A360A">
            <w:pPr>
              <w:pStyle w:val="CETBodytext"/>
              <w:jc w:val="center"/>
              <w:rPr>
                <w:sz w:val="16"/>
                <w:szCs w:val="18"/>
                <w:lang w:val="en-GB"/>
              </w:rPr>
            </w:pPr>
            <w:r w:rsidRPr="00B254BE">
              <w:rPr>
                <w:sz w:val="16"/>
                <w:szCs w:val="18"/>
                <w:lang w:val="en-GB"/>
              </w:rPr>
              <w:t>5</w:t>
            </w:r>
          </w:p>
        </w:tc>
        <w:tc>
          <w:tcPr>
            <w:tcW w:w="1985" w:type="dxa"/>
            <w:shd w:val="clear" w:color="auto" w:fill="FFFFFF"/>
          </w:tcPr>
          <w:p w14:paraId="699A22AE" w14:textId="77777777" w:rsidR="00B35A0A" w:rsidRPr="00B254BE" w:rsidRDefault="00B35A0A" w:rsidP="007A360A">
            <w:pPr>
              <w:pStyle w:val="CETBodytext"/>
              <w:jc w:val="center"/>
              <w:rPr>
                <w:sz w:val="16"/>
                <w:szCs w:val="18"/>
                <w:lang w:val="en-GB"/>
              </w:rPr>
            </w:pPr>
            <w:r w:rsidRPr="00B254BE">
              <w:rPr>
                <w:sz w:val="16"/>
                <w:szCs w:val="18"/>
                <w:lang w:val="en-GB"/>
              </w:rPr>
              <w:t>III</w:t>
            </w:r>
          </w:p>
        </w:tc>
        <w:tc>
          <w:tcPr>
            <w:tcW w:w="5245" w:type="dxa"/>
            <w:shd w:val="clear" w:color="auto" w:fill="FFFFFF"/>
          </w:tcPr>
          <w:p w14:paraId="593155F6" w14:textId="77777777" w:rsidR="00B35A0A" w:rsidRPr="00B254BE" w:rsidRDefault="00B35A0A" w:rsidP="007A360A">
            <w:pPr>
              <w:pStyle w:val="CETBodytext"/>
              <w:jc w:val="center"/>
              <w:rPr>
                <w:sz w:val="16"/>
                <w:szCs w:val="18"/>
                <w:lang w:val="en-GB"/>
              </w:rPr>
            </w:pPr>
            <w:r w:rsidRPr="00B254BE">
              <w:rPr>
                <w:sz w:val="16"/>
                <w:szCs w:val="18"/>
                <w:lang w:val="en-GB"/>
              </w:rPr>
              <w:t>High. Connected events can compromise the integrity of other pressure equipment in plants falling under Seveso Directive.</w:t>
            </w:r>
          </w:p>
        </w:tc>
      </w:tr>
      <w:tr w:rsidR="00B35A0A" w:rsidRPr="00B57B36" w14:paraId="7F7C4A6B" w14:textId="77777777" w:rsidTr="007A360A">
        <w:trPr>
          <w:trHeight w:val="203"/>
        </w:trPr>
        <w:tc>
          <w:tcPr>
            <w:tcW w:w="1276" w:type="dxa"/>
            <w:shd w:val="clear" w:color="auto" w:fill="FFFFFF"/>
          </w:tcPr>
          <w:p w14:paraId="3B693F53" w14:textId="77777777" w:rsidR="00B35A0A" w:rsidRPr="00B254BE" w:rsidRDefault="00B35A0A" w:rsidP="007A360A">
            <w:pPr>
              <w:pStyle w:val="CETBodytext"/>
              <w:jc w:val="center"/>
              <w:rPr>
                <w:sz w:val="16"/>
                <w:szCs w:val="18"/>
                <w:lang w:val="en-GB"/>
              </w:rPr>
            </w:pPr>
            <w:r w:rsidRPr="00B254BE">
              <w:rPr>
                <w:sz w:val="16"/>
                <w:szCs w:val="18"/>
                <w:lang w:val="en-GB"/>
              </w:rPr>
              <w:t>4</w:t>
            </w:r>
          </w:p>
        </w:tc>
        <w:tc>
          <w:tcPr>
            <w:tcW w:w="1985" w:type="dxa"/>
            <w:shd w:val="clear" w:color="auto" w:fill="FFFFFF"/>
          </w:tcPr>
          <w:p w14:paraId="4FAF1F34" w14:textId="77777777" w:rsidR="00B35A0A" w:rsidRPr="00B254BE" w:rsidRDefault="00B35A0A" w:rsidP="007A360A">
            <w:pPr>
              <w:pStyle w:val="CETBodytext"/>
              <w:jc w:val="center"/>
              <w:rPr>
                <w:sz w:val="16"/>
                <w:szCs w:val="18"/>
                <w:lang w:val="en-GB"/>
              </w:rPr>
            </w:pPr>
            <w:r w:rsidRPr="00B254BE">
              <w:rPr>
                <w:sz w:val="16"/>
                <w:szCs w:val="18"/>
                <w:lang w:val="en-GB"/>
              </w:rPr>
              <w:t>III</w:t>
            </w:r>
          </w:p>
        </w:tc>
        <w:tc>
          <w:tcPr>
            <w:tcW w:w="5245" w:type="dxa"/>
            <w:shd w:val="clear" w:color="auto" w:fill="FFFFFF"/>
          </w:tcPr>
          <w:p w14:paraId="0C4CF5BF" w14:textId="77777777" w:rsidR="00B35A0A" w:rsidRPr="00B254BE" w:rsidRDefault="00B35A0A" w:rsidP="007A360A">
            <w:pPr>
              <w:pStyle w:val="CETBodytext"/>
              <w:jc w:val="center"/>
              <w:rPr>
                <w:sz w:val="16"/>
                <w:szCs w:val="18"/>
                <w:lang w:val="en-GB"/>
              </w:rPr>
            </w:pPr>
            <w:r w:rsidRPr="00B254BE">
              <w:rPr>
                <w:sz w:val="16"/>
                <w:szCs w:val="18"/>
                <w:lang w:val="en-GB"/>
              </w:rPr>
              <w:t>Medium. Connected events can compromise the integrity of other pressure equipment in plants NOT falling under Seveso Directive.</w:t>
            </w:r>
          </w:p>
        </w:tc>
      </w:tr>
      <w:tr w:rsidR="00B35A0A" w:rsidRPr="00B57B36" w14:paraId="1988B0A2" w14:textId="77777777" w:rsidTr="007A360A">
        <w:trPr>
          <w:trHeight w:val="203"/>
        </w:trPr>
        <w:tc>
          <w:tcPr>
            <w:tcW w:w="1276" w:type="dxa"/>
            <w:shd w:val="clear" w:color="auto" w:fill="FFFFFF"/>
          </w:tcPr>
          <w:p w14:paraId="5E3FE740" w14:textId="77777777" w:rsidR="00B35A0A" w:rsidRPr="00B254BE" w:rsidRDefault="00B35A0A" w:rsidP="007A360A">
            <w:pPr>
              <w:pStyle w:val="CETBodytext"/>
              <w:jc w:val="center"/>
              <w:rPr>
                <w:sz w:val="16"/>
                <w:szCs w:val="18"/>
                <w:lang w:val="en-GB"/>
              </w:rPr>
            </w:pPr>
            <w:r w:rsidRPr="00B254BE">
              <w:rPr>
                <w:sz w:val="16"/>
                <w:szCs w:val="18"/>
                <w:lang w:val="en-GB"/>
              </w:rPr>
              <w:t>3</w:t>
            </w:r>
          </w:p>
        </w:tc>
        <w:tc>
          <w:tcPr>
            <w:tcW w:w="1985" w:type="dxa"/>
            <w:shd w:val="clear" w:color="auto" w:fill="FFFFFF"/>
          </w:tcPr>
          <w:p w14:paraId="5497702B" w14:textId="77777777" w:rsidR="00B35A0A" w:rsidRPr="00B254BE" w:rsidRDefault="00B35A0A" w:rsidP="007A360A">
            <w:pPr>
              <w:pStyle w:val="CETBodytext"/>
              <w:jc w:val="center"/>
              <w:rPr>
                <w:sz w:val="16"/>
                <w:szCs w:val="18"/>
                <w:lang w:val="en-GB"/>
              </w:rPr>
            </w:pPr>
            <w:r w:rsidRPr="00B254BE">
              <w:rPr>
                <w:sz w:val="16"/>
                <w:szCs w:val="18"/>
                <w:lang w:val="en-GB"/>
              </w:rPr>
              <w:t>II</w:t>
            </w:r>
          </w:p>
        </w:tc>
        <w:tc>
          <w:tcPr>
            <w:tcW w:w="5245" w:type="dxa"/>
            <w:shd w:val="clear" w:color="auto" w:fill="FFFFFF"/>
          </w:tcPr>
          <w:p w14:paraId="50B70D5E" w14:textId="15997546" w:rsidR="00B35A0A" w:rsidRPr="00B254BE" w:rsidRDefault="00B35A0A" w:rsidP="00B85D82">
            <w:pPr>
              <w:pStyle w:val="CETBodytext"/>
              <w:jc w:val="center"/>
              <w:rPr>
                <w:color w:val="FF0000"/>
                <w:sz w:val="16"/>
                <w:szCs w:val="18"/>
                <w:highlight w:val="yellow"/>
                <w:lang w:val="en-GB"/>
              </w:rPr>
            </w:pPr>
            <w:r w:rsidRPr="00B254BE">
              <w:rPr>
                <w:sz w:val="16"/>
                <w:szCs w:val="18"/>
                <w:lang w:val="en-GB"/>
              </w:rPr>
              <w:t>Medium-Low. The connected events can compromise the</w:t>
            </w:r>
            <w:r w:rsidR="00B85D82" w:rsidRPr="00B254BE">
              <w:rPr>
                <w:sz w:val="16"/>
                <w:szCs w:val="18"/>
                <w:lang w:val="en-GB"/>
              </w:rPr>
              <w:t xml:space="preserve"> integrity of the main parts of </w:t>
            </w:r>
            <w:r w:rsidRPr="00B254BE">
              <w:rPr>
                <w:sz w:val="16"/>
                <w:szCs w:val="18"/>
                <w:lang w:val="en-GB"/>
              </w:rPr>
              <w:t>pressure pipes.</w:t>
            </w:r>
          </w:p>
        </w:tc>
      </w:tr>
      <w:tr w:rsidR="00B35A0A" w:rsidRPr="00B57B36" w14:paraId="6F19DFE2" w14:textId="77777777" w:rsidTr="007A360A">
        <w:trPr>
          <w:trHeight w:val="203"/>
        </w:trPr>
        <w:tc>
          <w:tcPr>
            <w:tcW w:w="1276" w:type="dxa"/>
            <w:shd w:val="clear" w:color="auto" w:fill="FFFFFF"/>
          </w:tcPr>
          <w:p w14:paraId="2BECF664" w14:textId="77777777" w:rsidR="00B35A0A" w:rsidRPr="00B254BE" w:rsidRDefault="00B35A0A" w:rsidP="007A360A">
            <w:pPr>
              <w:pStyle w:val="CETBodytext"/>
              <w:jc w:val="center"/>
              <w:rPr>
                <w:sz w:val="16"/>
                <w:szCs w:val="18"/>
                <w:lang w:val="en-GB"/>
              </w:rPr>
            </w:pPr>
            <w:r w:rsidRPr="00B254BE">
              <w:rPr>
                <w:sz w:val="16"/>
                <w:szCs w:val="18"/>
                <w:lang w:val="en-GB"/>
              </w:rPr>
              <w:t>2</w:t>
            </w:r>
          </w:p>
        </w:tc>
        <w:tc>
          <w:tcPr>
            <w:tcW w:w="1985" w:type="dxa"/>
            <w:shd w:val="clear" w:color="auto" w:fill="FFFFFF"/>
          </w:tcPr>
          <w:p w14:paraId="3CB5355E" w14:textId="77777777" w:rsidR="00B35A0A" w:rsidRPr="00B254BE" w:rsidRDefault="00B35A0A" w:rsidP="007A360A">
            <w:pPr>
              <w:pStyle w:val="CETBodytext"/>
              <w:jc w:val="center"/>
              <w:rPr>
                <w:sz w:val="16"/>
                <w:szCs w:val="18"/>
                <w:lang w:val="en-GB"/>
              </w:rPr>
            </w:pPr>
            <w:r w:rsidRPr="00B254BE">
              <w:rPr>
                <w:sz w:val="16"/>
                <w:szCs w:val="18"/>
                <w:lang w:val="en-GB"/>
              </w:rPr>
              <w:t>I</w:t>
            </w:r>
          </w:p>
        </w:tc>
        <w:tc>
          <w:tcPr>
            <w:tcW w:w="5245" w:type="dxa"/>
            <w:shd w:val="clear" w:color="auto" w:fill="FFFFFF"/>
          </w:tcPr>
          <w:p w14:paraId="0ECD253A" w14:textId="01D3A348" w:rsidR="00B35A0A" w:rsidRPr="00B254BE" w:rsidRDefault="00B35A0A" w:rsidP="0038013B">
            <w:pPr>
              <w:pStyle w:val="CETBodytext"/>
              <w:jc w:val="center"/>
              <w:rPr>
                <w:color w:val="FF0000"/>
                <w:sz w:val="16"/>
                <w:szCs w:val="18"/>
                <w:highlight w:val="yellow"/>
                <w:lang w:val="en-GB"/>
              </w:rPr>
            </w:pPr>
            <w:r w:rsidRPr="00B254BE">
              <w:rPr>
                <w:sz w:val="16"/>
                <w:szCs w:val="18"/>
                <w:lang w:val="en-GB"/>
              </w:rPr>
              <w:t>Low. The connected events can compromise the integrity of the main parts of pressure pipes</w:t>
            </w:r>
            <w:r w:rsidR="0010581A" w:rsidRPr="00B254BE">
              <w:rPr>
                <w:sz w:val="16"/>
                <w:szCs w:val="18"/>
                <w:lang w:val="en-GB"/>
              </w:rPr>
              <w:t>.</w:t>
            </w:r>
          </w:p>
        </w:tc>
      </w:tr>
      <w:tr w:rsidR="00B35A0A" w:rsidRPr="00B57B36" w14:paraId="638B12EA" w14:textId="77777777" w:rsidTr="007A360A">
        <w:trPr>
          <w:trHeight w:val="212"/>
        </w:trPr>
        <w:tc>
          <w:tcPr>
            <w:tcW w:w="1276" w:type="dxa"/>
            <w:shd w:val="clear" w:color="auto" w:fill="FFFFFF"/>
          </w:tcPr>
          <w:p w14:paraId="4EAEDBAF" w14:textId="77777777" w:rsidR="00B35A0A" w:rsidRPr="00B254BE" w:rsidRDefault="00B35A0A" w:rsidP="007A360A">
            <w:pPr>
              <w:pStyle w:val="CETBodytext"/>
              <w:jc w:val="center"/>
              <w:rPr>
                <w:sz w:val="16"/>
                <w:szCs w:val="18"/>
                <w:lang w:val="en-GB"/>
              </w:rPr>
            </w:pPr>
            <w:r w:rsidRPr="00B254BE">
              <w:rPr>
                <w:sz w:val="16"/>
                <w:szCs w:val="18"/>
                <w:lang w:val="en-GB"/>
              </w:rPr>
              <w:t>1</w:t>
            </w:r>
          </w:p>
        </w:tc>
        <w:tc>
          <w:tcPr>
            <w:tcW w:w="1985" w:type="dxa"/>
            <w:shd w:val="clear" w:color="auto" w:fill="FFFFFF"/>
          </w:tcPr>
          <w:p w14:paraId="252EA8B6" w14:textId="11F2F39F" w:rsidR="00B35A0A" w:rsidRPr="00B254BE" w:rsidRDefault="0010581A" w:rsidP="0010581A">
            <w:pPr>
              <w:pStyle w:val="CETBodytext"/>
              <w:jc w:val="center"/>
              <w:rPr>
                <w:sz w:val="16"/>
                <w:szCs w:val="18"/>
                <w:lang w:val="en-GB"/>
              </w:rPr>
            </w:pPr>
            <w:r w:rsidRPr="00B254BE">
              <w:rPr>
                <w:sz w:val="16"/>
                <w:szCs w:val="18"/>
                <w:lang w:val="en-GB"/>
              </w:rPr>
              <w:t xml:space="preserve">Equipment falling in </w:t>
            </w:r>
            <w:r w:rsidR="00B35A0A" w:rsidRPr="00B254BE">
              <w:rPr>
                <w:sz w:val="16"/>
                <w:szCs w:val="18"/>
                <w:lang w:val="en-GB"/>
              </w:rPr>
              <w:t>Article 4, (3) Directive 2014/68/EU</w:t>
            </w:r>
            <w:r w:rsidR="00F01D94" w:rsidRPr="00B254BE">
              <w:rPr>
                <w:sz w:val="16"/>
                <w:szCs w:val="18"/>
                <w:lang w:val="en-GB"/>
              </w:rPr>
              <w:t xml:space="preserve"> (below category I)</w:t>
            </w:r>
          </w:p>
        </w:tc>
        <w:tc>
          <w:tcPr>
            <w:tcW w:w="5245" w:type="dxa"/>
            <w:shd w:val="clear" w:color="auto" w:fill="FFFFFF"/>
          </w:tcPr>
          <w:p w14:paraId="0A0B0352" w14:textId="7C216329" w:rsidR="00B35A0A" w:rsidRPr="00B254BE" w:rsidRDefault="0010581A" w:rsidP="007A360A">
            <w:pPr>
              <w:pStyle w:val="CETBodytext"/>
              <w:jc w:val="center"/>
              <w:rPr>
                <w:sz w:val="16"/>
                <w:szCs w:val="18"/>
                <w:lang w:val="en-GB"/>
              </w:rPr>
            </w:pPr>
            <w:r w:rsidRPr="00B254BE">
              <w:rPr>
                <w:sz w:val="16"/>
                <w:szCs w:val="18"/>
                <w:lang w:val="en-GB"/>
              </w:rPr>
              <w:t xml:space="preserve">Very Low. </w:t>
            </w:r>
            <w:r w:rsidR="00B35A0A" w:rsidRPr="00B254BE">
              <w:rPr>
                <w:sz w:val="16"/>
                <w:szCs w:val="18"/>
                <w:lang w:val="en-GB"/>
              </w:rPr>
              <w:t>Connected events can compromise the integrity of some parts of pressure pipes.</w:t>
            </w:r>
          </w:p>
        </w:tc>
      </w:tr>
    </w:tbl>
    <w:p w14:paraId="3656798E" w14:textId="2B33FEC5" w:rsidR="00B35A0A" w:rsidRDefault="00B35A0A" w:rsidP="00021151">
      <w:pPr>
        <w:pStyle w:val="CETBodytext"/>
      </w:pPr>
      <w:r w:rsidRPr="009063B7">
        <w:rPr>
          <w:sz w:val="16"/>
        </w:rPr>
        <w:t>(*)</w:t>
      </w:r>
      <w:r>
        <w:rPr>
          <w:sz w:val="16"/>
        </w:rPr>
        <w:t xml:space="preserve"> I</w:t>
      </w:r>
      <w:r w:rsidRPr="00705B2A">
        <w:rPr>
          <w:sz w:val="16"/>
          <w:vertAlign w:val="subscript"/>
        </w:rPr>
        <w:t>c</w:t>
      </w:r>
      <w:r>
        <w:rPr>
          <w:sz w:val="16"/>
        </w:rPr>
        <w:t xml:space="preserve"> is reduced by 1 unit if t</w:t>
      </w:r>
      <w:r w:rsidRPr="007042EE">
        <w:rPr>
          <w:sz w:val="16"/>
        </w:rPr>
        <w:t>he equipment is built following PED Directive</w:t>
      </w:r>
      <w:r w:rsidR="00A9025A" w:rsidRPr="007042EE">
        <w:rPr>
          <w:sz w:val="16"/>
        </w:rPr>
        <w:t>, because, in this case, it is guaranteed that pipe, already during construction phase, is adequate to safety essential safety requirements, differently by pipe built before the introduction of Ped Directive</w:t>
      </w:r>
      <w:r w:rsidR="00BB2296" w:rsidRPr="007042EE">
        <w:rPr>
          <w:sz w:val="16"/>
        </w:rPr>
        <w:t>.</w:t>
      </w:r>
    </w:p>
    <w:p w14:paraId="0C5CFA37" w14:textId="3A5BDF1A" w:rsidR="0000763A" w:rsidRDefault="006E76D8" w:rsidP="0000763A">
      <w:pPr>
        <w:pStyle w:val="CETheadingx"/>
      </w:pPr>
      <w:r>
        <w:t>Probability</w:t>
      </w:r>
      <w:r w:rsidR="0000763A" w:rsidRPr="00021151">
        <w:t xml:space="preserve"> index of the damage I</w:t>
      </w:r>
      <w:r>
        <w:rPr>
          <w:vertAlign w:val="subscript"/>
        </w:rPr>
        <w:t>P</w:t>
      </w:r>
      <w:r w:rsidR="0000763A" w:rsidRPr="00021151">
        <w:t xml:space="preserve"> </w:t>
      </w:r>
    </w:p>
    <w:p w14:paraId="65F7BB83" w14:textId="225ED284" w:rsidR="0000763A" w:rsidRDefault="0000763A" w:rsidP="0000763A">
      <w:pPr>
        <w:pStyle w:val="CETBodytext"/>
      </w:pPr>
      <w:r w:rsidRPr="00021151">
        <w:t xml:space="preserve">The </w:t>
      </w:r>
      <w:r w:rsidR="006E76D8">
        <w:t xml:space="preserve">probability </w:t>
      </w:r>
      <w:r w:rsidRPr="00021151">
        <w:t>index</w:t>
      </w:r>
      <w:r w:rsidR="006E76D8">
        <w:t xml:space="preserve"> of the damage</w:t>
      </w:r>
      <w:r>
        <w:t>, I</w:t>
      </w:r>
      <w:r w:rsidR="006E76D8">
        <w:rPr>
          <w:vertAlign w:val="subscript"/>
        </w:rPr>
        <w:t>P</w:t>
      </w:r>
      <w:r>
        <w:t xml:space="preserve">, is related to </w:t>
      </w:r>
      <w:r w:rsidRPr="00021151">
        <w:t>I</w:t>
      </w:r>
      <w:r w:rsidR="006E76D8">
        <w:rPr>
          <w:vertAlign w:val="subscript"/>
        </w:rPr>
        <w:t>E</w:t>
      </w:r>
      <w:r>
        <w:t>,</w:t>
      </w:r>
      <w:r w:rsidRPr="00021151">
        <w:t xml:space="preserve"> which is </w:t>
      </w:r>
      <w:r w:rsidR="006E76D8">
        <w:t xml:space="preserve">the </w:t>
      </w:r>
      <w:r w:rsidR="006E76D8" w:rsidRPr="006E76D8">
        <w:t>exposure duration index</w:t>
      </w:r>
      <w:r w:rsidRPr="00021151">
        <w:t>:</w:t>
      </w:r>
    </w:p>
    <w:tbl>
      <w:tblPr>
        <w:tblW w:w="5000" w:type="pct"/>
        <w:tblLook w:val="04A0" w:firstRow="1" w:lastRow="0" w:firstColumn="1" w:lastColumn="0" w:noHBand="0" w:noVBand="1"/>
      </w:tblPr>
      <w:tblGrid>
        <w:gridCol w:w="8188"/>
        <w:gridCol w:w="815"/>
      </w:tblGrid>
      <w:tr w:rsidR="0000763A" w:rsidRPr="00B57B36" w14:paraId="1C8D3F78" w14:textId="77777777" w:rsidTr="007A360A">
        <w:tc>
          <w:tcPr>
            <w:tcW w:w="8188" w:type="dxa"/>
            <w:shd w:val="clear" w:color="auto" w:fill="auto"/>
            <w:vAlign w:val="center"/>
          </w:tcPr>
          <w:p w14:paraId="6BE17EE2" w14:textId="738794AA" w:rsidR="0000763A" w:rsidRPr="009233E7" w:rsidRDefault="0000763A" w:rsidP="006E76D8">
            <w:pPr>
              <w:pStyle w:val="CETEquation"/>
            </w:pPr>
            <w:r w:rsidRPr="009233E7">
              <w:t>I</w:t>
            </w:r>
            <w:r w:rsidR="006E76D8">
              <w:rPr>
                <w:vertAlign w:val="subscript"/>
              </w:rPr>
              <w:t>P</w:t>
            </w:r>
            <w:r w:rsidRPr="009233E7">
              <w:t xml:space="preserve"> = I</w:t>
            </w:r>
            <w:r w:rsidR="006E76D8">
              <w:rPr>
                <w:vertAlign w:val="subscript"/>
              </w:rPr>
              <w:t>E</w:t>
            </w:r>
          </w:p>
        </w:tc>
        <w:tc>
          <w:tcPr>
            <w:tcW w:w="815" w:type="dxa"/>
            <w:shd w:val="clear" w:color="auto" w:fill="auto"/>
            <w:vAlign w:val="center"/>
          </w:tcPr>
          <w:p w14:paraId="44CD8C54" w14:textId="2A54949D" w:rsidR="0000763A" w:rsidRPr="00B57B36" w:rsidRDefault="0000763A" w:rsidP="006E76D8">
            <w:pPr>
              <w:pStyle w:val="CETEquation"/>
              <w:jc w:val="right"/>
            </w:pPr>
            <w:r w:rsidRPr="00B57B36">
              <w:t>(</w:t>
            </w:r>
            <w:r w:rsidR="006E76D8">
              <w:t>4</w:t>
            </w:r>
            <w:r w:rsidRPr="00B57B36">
              <w:t>)</w:t>
            </w:r>
          </w:p>
        </w:tc>
      </w:tr>
    </w:tbl>
    <w:p w14:paraId="71C8A6F9" w14:textId="5C9EFF41" w:rsidR="0000763A" w:rsidRDefault="0000763A" w:rsidP="0000763A">
      <w:pPr>
        <w:pStyle w:val="CETBodytext"/>
      </w:pPr>
      <w:r>
        <w:t>A</w:t>
      </w:r>
      <w:r w:rsidRPr="00B35A0A">
        <w:t>uthors propose to assign integers fro</w:t>
      </w:r>
      <w:r>
        <w:t xml:space="preserve">m 1 to 5 to the </w:t>
      </w:r>
      <w:r w:rsidR="006E76D8" w:rsidRPr="006E76D8">
        <w:t>exposure duration index</w:t>
      </w:r>
      <w:r w:rsidR="006E76D8">
        <w:t xml:space="preserve"> </w:t>
      </w:r>
      <w:r>
        <w:t>I</w:t>
      </w:r>
      <w:r w:rsidR="006E76D8">
        <w:rPr>
          <w:vertAlign w:val="subscript"/>
        </w:rPr>
        <w:t>E</w:t>
      </w:r>
      <w:r w:rsidRPr="00B35A0A">
        <w:t xml:space="preserve">, matching </w:t>
      </w:r>
      <w:r w:rsidR="006E76D8" w:rsidRPr="006E76D8">
        <w:t>the duration of exposure with the working frequency of the pressure pipes</w:t>
      </w:r>
      <w:r w:rsidRPr="00B35A0A">
        <w:t>, as detailed in Table</w:t>
      </w:r>
      <w:r w:rsidR="006E76D8">
        <w:t xml:space="preserve"> 2</w:t>
      </w:r>
      <w:r w:rsidRPr="00B35A0A">
        <w:t>.</w:t>
      </w:r>
    </w:p>
    <w:p w14:paraId="15E4D4FC" w14:textId="77777777" w:rsidR="006E76D8" w:rsidRPr="00B57B36" w:rsidRDefault="006E76D8" w:rsidP="006E76D8">
      <w:pPr>
        <w:pStyle w:val="CETTabletitle"/>
      </w:pPr>
      <w:r w:rsidRPr="00B57B36">
        <w:t xml:space="preserve">Table </w:t>
      </w:r>
      <w:r>
        <w:t>2</w:t>
      </w:r>
      <w:r w:rsidRPr="00B57B36">
        <w:t xml:space="preserve">: </w:t>
      </w:r>
      <w:r w:rsidRPr="00B42A75">
        <w:t>I</w:t>
      </w:r>
      <w:r>
        <w:rPr>
          <w:vertAlign w:val="subscript"/>
        </w:rPr>
        <w:t>e</w:t>
      </w:r>
      <w:r w:rsidRPr="00B42A75">
        <w:t xml:space="preserve"> </w:t>
      </w:r>
      <w:r w:rsidRPr="00705B2A">
        <w:t>exposure index</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98"/>
        <w:gridCol w:w="1874"/>
        <w:gridCol w:w="5333"/>
      </w:tblGrid>
      <w:tr w:rsidR="006E76D8" w:rsidRPr="00B57B36" w14:paraId="7DDA6898" w14:textId="77777777" w:rsidTr="007A360A">
        <w:trPr>
          <w:trHeight w:val="212"/>
        </w:trPr>
        <w:tc>
          <w:tcPr>
            <w:tcW w:w="1276" w:type="dxa"/>
            <w:tcBorders>
              <w:top w:val="single" w:sz="12" w:space="0" w:color="008000"/>
              <w:bottom w:val="single" w:sz="6" w:space="0" w:color="008000"/>
            </w:tcBorders>
            <w:shd w:val="clear" w:color="auto" w:fill="FFFFFF"/>
          </w:tcPr>
          <w:p w14:paraId="06CB7D33" w14:textId="77777777" w:rsidR="006E76D8" w:rsidRPr="00B254BE" w:rsidRDefault="006E76D8" w:rsidP="007A360A">
            <w:pPr>
              <w:pStyle w:val="CETBodytext"/>
              <w:jc w:val="center"/>
              <w:rPr>
                <w:sz w:val="16"/>
                <w:szCs w:val="18"/>
                <w:lang w:val="en-GB"/>
              </w:rPr>
            </w:pPr>
            <w:r w:rsidRPr="00B254BE">
              <w:rPr>
                <w:sz w:val="16"/>
                <w:szCs w:val="18"/>
                <w:lang w:val="en-GB"/>
              </w:rPr>
              <w:t>I</w:t>
            </w:r>
            <w:r w:rsidRPr="00B254BE">
              <w:rPr>
                <w:sz w:val="16"/>
                <w:szCs w:val="18"/>
                <w:vertAlign w:val="subscript"/>
                <w:lang w:val="en-GB"/>
              </w:rPr>
              <w:t>e</w:t>
            </w:r>
            <w:r w:rsidRPr="00B254BE">
              <w:rPr>
                <w:sz w:val="16"/>
                <w:szCs w:val="18"/>
                <w:lang w:val="en-GB"/>
              </w:rPr>
              <w:t xml:space="preserve"> (*)</w:t>
            </w:r>
          </w:p>
        </w:tc>
        <w:tc>
          <w:tcPr>
            <w:tcW w:w="1843" w:type="dxa"/>
            <w:tcBorders>
              <w:top w:val="single" w:sz="12" w:space="0" w:color="008000"/>
              <w:bottom w:val="single" w:sz="6" w:space="0" w:color="008000"/>
            </w:tcBorders>
            <w:shd w:val="clear" w:color="auto" w:fill="FFFFFF"/>
          </w:tcPr>
          <w:p w14:paraId="478EC31A" w14:textId="77777777" w:rsidR="006E76D8" w:rsidRPr="00B254BE" w:rsidRDefault="006E76D8" w:rsidP="007A360A">
            <w:pPr>
              <w:pStyle w:val="CETBodytext"/>
              <w:jc w:val="center"/>
              <w:rPr>
                <w:sz w:val="16"/>
                <w:szCs w:val="18"/>
                <w:lang w:val="en-GB"/>
              </w:rPr>
            </w:pPr>
            <w:r w:rsidRPr="00B254BE">
              <w:rPr>
                <w:sz w:val="16"/>
                <w:szCs w:val="18"/>
                <w:lang w:val="en-GB"/>
              </w:rPr>
              <w:t>Duration of exposure</w:t>
            </w:r>
          </w:p>
        </w:tc>
        <w:tc>
          <w:tcPr>
            <w:tcW w:w="5245" w:type="dxa"/>
            <w:tcBorders>
              <w:top w:val="single" w:sz="12" w:space="0" w:color="008000"/>
              <w:bottom w:val="single" w:sz="6" w:space="0" w:color="008000"/>
            </w:tcBorders>
            <w:shd w:val="clear" w:color="auto" w:fill="FFFFFF"/>
          </w:tcPr>
          <w:p w14:paraId="4ADF916A" w14:textId="77777777" w:rsidR="006E76D8" w:rsidRPr="00B254BE" w:rsidRDefault="006E76D8" w:rsidP="007A360A">
            <w:pPr>
              <w:pStyle w:val="CETBodytext"/>
              <w:jc w:val="center"/>
              <w:rPr>
                <w:sz w:val="16"/>
                <w:szCs w:val="18"/>
                <w:lang w:val="en-GB"/>
              </w:rPr>
            </w:pPr>
            <w:r w:rsidRPr="00B254BE">
              <w:rPr>
                <w:sz w:val="16"/>
                <w:szCs w:val="18"/>
                <w:lang w:val="en-GB"/>
              </w:rPr>
              <w:t>Frequency</w:t>
            </w:r>
          </w:p>
        </w:tc>
      </w:tr>
      <w:tr w:rsidR="006E76D8" w:rsidRPr="00B57B36" w14:paraId="2D5EB5D2" w14:textId="77777777" w:rsidTr="007A360A">
        <w:trPr>
          <w:trHeight w:val="212"/>
        </w:trPr>
        <w:tc>
          <w:tcPr>
            <w:tcW w:w="1276" w:type="dxa"/>
            <w:shd w:val="clear" w:color="auto" w:fill="FFFFFF"/>
          </w:tcPr>
          <w:p w14:paraId="3EEB8E4C" w14:textId="77777777" w:rsidR="006E76D8" w:rsidRPr="00B254BE" w:rsidRDefault="006E76D8" w:rsidP="007A360A">
            <w:pPr>
              <w:pStyle w:val="CETBodytext"/>
              <w:jc w:val="center"/>
              <w:rPr>
                <w:sz w:val="16"/>
                <w:szCs w:val="18"/>
                <w:lang w:val="en-GB"/>
              </w:rPr>
            </w:pPr>
            <w:r w:rsidRPr="00B254BE">
              <w:rPr>
                <w:sz w:val="16"/>
                <w:szCs w:val="18"/>
                <w:lang w:val="en-GB"/>
              </w:rPr>
              <w:t>5</w:t>
            </w:r>
          </w:p>
        </w:tc>
        <w:tc>
          <w:tcPr>
            <w:tcW w:w="1843" w:type="dxa"/>
            <w:shd w:val="clear" w:color="auto" w:fill="FFFFFF"/>
          </w:tcPr>
          <w:p w14:paraId="6DBED5D8" w14:textId="77777777" w:rsidR="006E76D8" w:rsidRPr="00B254BE" w:rsidRDefault="006E76D8" w:rsidP="007A360A">
            <w:pPr>
              <w:pStyle w:val="CETBodytext"/>
              <w:jc w:val="center"/>
              <w:rPr>
                <w:sz w:val="16"/>
                <w:szCs w:val="18"/>
                <w:lang w:val="en-GB"/>
              </w:rPr>
            </w:pPr>
            <w:r w:rsidRPr="00B254BE">
              <w:rPr>
                <w:sz w:val="16"/>
                <w:szCs w:val="18"/>
              </w:rPr>
              <w:t>H24/365</w:t>
            </w:r>
          </w:p>
        </w:tc>
        <w:tc>
          <w:tcPr>
            <w:tcW w:w="5245" w:type="dxa"/>
            <w:shd w:val="clear" w:color="auto" w:fill="FFFFFF"/>
          </w:tcPr>
          <w:p w14:paraId="4D1EB04F" w14:textId="77777777" w:rsidR="006E76D8" w:rsidRPr="00B254BE" w:rsidRDefault="006E76D8" w:rsidP="007A360A">
            <w:pPr>
              <w:pStyle w:val="CETBodytext"/>
              <w:jc w:val="center"/>
              <w:rPr>
                <w:sz w:val="16"/>
                <w:szCs w:val="18"/>
                <w:lang w:val="en-GB"/>
              </w:rPr>
            </w:pPr>
            <w:r w:rsidRPr="00B254BE">
              <w:rPr>
                <w:sz w:val="16"/>
                <w:szCs w:val="18"/>
              </w:rPr>
              <w:t>Loop</w:t>
            </w:r>
          </w:p>
        </w:tc>
      </w:tr>
      <w:tr w:rsidR="006E76D8" w:rsidRPr="00B57B36" w14:paraId="5DDBD228" w14:textId="77777777" w:rsidTr="007A360A">
        <w:trPr>
          <w:trHeight w:val="203"/>
        </w:trPr>
        <w:tc>
          <w:tcPr>
            <w:tcW w:w="1276" w:type="dxa"/>
            <w:shd w:val="clear" w:color="auto" w:fill="FFFFFF"/>
          </w:tcPr>
          <w:p w14:paraId="2571FB14" w14:textId="77777777" w:rsidR="006E76D8" w:rsidRPr="00B254BE" w:rsidRDefault="006E76D8" w:rsidP="007A360A">
            <w:pPr>
              <w:pStyle w:val="CETBodytext"/>
              <w:jc w:val="center"/>
              <w:rPr>
                <w:sz w:val="16"/>
                <w:szCs w:val="18"/>
                <w:lang w:val="en-GB"/>
              </w:rPr>
            </w:pPr>
            <w:r w:rsidRPr="00B254BE">
              <w:rPr>
                <w:sz w:val="16"/>
                <w:szCs w:val="18"/>
                <w:lang w:val="en-GB"/>
              </w:rPr>
              <w:t>4</w:t>
            </w:r>
          </w:p>
        </w:tc>
        <w:tc>
          <w:tcPr>
            <w:tcW w:w="1843" w:type="dxa"/>
            <w:shd w:val="clear" w:color="auto" w:fill="FFFFFF"/>
          </w:tcPr>
          <w:p w14:paraId="20B9F42D" w14:textId="77777777" w:rsidR="006E76D8" w:rsidRPr="00B254BE" w:rsidRDefault="006E76D8" w:rsidP="007A360A">
            <w:pPr>
              <w:pStyle w:val="CETBodytext"/>
              <w:jc w:val="center"/>
              <w:rPr>
                <w:sz w:val="16"/>
                <w:szCs w:val="18"/>
                <w:lang w:val="en-GB"/>
              </w:rPr>
            </w:pPr>
            <w:r w:rsidRPr="00B254BE">
              <w:rPr>
                <w:sz w:val="16"/>
                <w:szCs w:val="18"/>
              </w:rPr>
              <w:t>40 h / week</w:t>
            </w:r>
          </w:p>
        </w:tc>
        <w:tc>
          <w:tcPr>
            <w:tcW w:w="5245" w:type="dxa"/>
            <w:shd w:val="clear" w:color="auto" w:fill="FFFFFF"/>
          </w:tcPr>
          <w:p w14:paraId="18D927E2" w14:textId="77777777" w:rsidR="006E76D8" w:rsidRPr="00B254BE" w:rsidRDefault="006E76D8" w:rsidP="007A360A">
            <w:pPr>
              <w:pStyle w:val="CETBodytext"/>
              <w:jc w:val="center"/>
              <w:rPr>
                <w:sz w:val="16"/>
                <w:szCs w:val="18"/>
                <w:lang w:val="en-GB"/>
              </w:rPr>
            </w:pPr>
            <w:r w:rsidRPr="00B254BE">
              <w:rPr>
                <w:sz w:val="16"/>
                <w:szCs w:val="18"/>
              </w:rPr>
              <w:t>Full time</w:t>
            </w:r>
          </w:p>
        </w:tc>
      </w:tr>
      <w:tr w:rsidR="006E76D8" w:rsidRPr="00B57B36" w14:paraId="5B0B19CC" w14:textId="77777777" w:rsidTr="007A360A">
        <w:trPr>
          <w:trHeight w:val="203"/>
        </w:trPr>
        <w:tc>
          <w:tcPr>
            <w:tcW w:w="1276" w:type="dxa"/>
            <w:shd w:val="clear" w:color="auto" w:fill="FFFFFF"/>
          </w:tcPr>
          <w:p w14:paraId="551A2631" w14:textId="77777777" w:rsidR="006E76D8" w:rsidRPr="00B254BE" w:rsidRDefault="006E76D8" w:rsidP="007A360A">
            <w:pPr>
              <w:pStyle w:val="CETBodytext"/>
              <w:jc w:val="center"/>
              <w:rPr>
                <w:sz w:val="16"/>
                <w:szCs w:val="18"/>
                <w:lang w:val="en-GB"/>
              </w:rPr>
            </w:pPr>
            <w:r w:rsidRPr="00B254BE">
              <w:rPr>
                <w:sz w:val="16"/>
                <w:szCs w:val="18"/>
                <w:lang w:val="en-GB"/>
              </w:rPr>
              <w:t>3</w:t>
            </w:r>
          </w:p>
        </w:tc>
        <w:tc>
          <w:tcPr>
            <w:tcW w:w="1843" w:type="dxa"/>
            <w:shd w:val="clear" w:color="auto" w:fill="FFFFFF"/>
          </w:tcPr>
          <w:p w14:paraId="67380196" w14:textId="77777777" w:rsidR="006E76D8" w:rsidRPr="00B254BE" w:rsidRDefault="006E76D8" w:rsidP="007A360A">
            <w:pPr>
              <w:pStyle w:val="CETBodytext"/>
              <w:jc w:val="center"/>
              <w:rPr>
                <w:sz w:val="16"/>
                <w:szCs w:val="18"/>
                <w:lang w:val="en-GB"/>
              </w:rPr>
            </w:pPr>
            <w:r w:rsidRPr="00B254BE">
              <w:rPr>
                <w:sz w:val="16"/>
                <w:szCs w:val="18"/>
              </w:rPr>
              <w:t>20 h / week</w:t>
            </w:r>
          </w:p>
        </w:tc>
        <w:tc>
          <w:tcPr>
            <w:tcW w:w="5245" w:type="dxa"/>
            <w:shd w:val="clear" w:color="auto" w:fill="FFFFFF"/>
          </w:tcPr>
          <w:p w14:paraId="6AA1C4E3" w14:textId="77777777" w:rsidR="006E76D8" w:rsidRPr="00B254BE" w:rsidRDefault="006E76D8" w:rsidP="007A360A">
            <w:pPr>
              <w:pStyle w:val="CETBodytext"/>
              <w:jc w:val="center"/>
              <w:rPr>
                <w:color w:val="FF0000"/>
                <w:sz w:val="16"/>
                <w:szCs w:val="18"/>
                <w:highlight w:val="yellow"/>
                <w:lang w:val="en-GB"/>
              </w:rPr>
            </w:pPr>
            <w:r w:rsidRPr="00B254BE">
              <w:rPr>
                <w:sz w:val="16"/>
                <w:szCs w:val="18"/>
              </w:rPr>
              <w:t>Partial time</w:t>
            </w:r>
          </w:p>
        </w:tc>
      </w:tr>
      <w:tr w:rsidR="006E76D8" w:rsidRPr="00B57B36" w14:paraId="404FC347" w14:textId="77777777" w:rsidTr="007A360A">
        <w:trPr>
          <w:trHeight w:val="203"/>
        </w:trPr>
        <w:tc>
          <w:tcPr>
            <w:tcW w:w="1276" w:type="dxa"/>
            <w:shd w:val="clear" w:color="auto" w:fill="FFFFFF"/>
          </w:tcPr>
          <w:p w14:paraId="53E97F13" w14:textId="77777777" w:rsidR="006E76D8" w:rsidRPr="00B254BE" w:rsidRDefault="006E76D8" w:rsidP="007A360A">
            <w:pPr>
              <w:pStyle w:val="CETBodytext"/>
              <w:jc w:val="center"/>
              <w:rPr>
                <w:sz w:val="16"/>
                <w:szCs w:val="18"/>
                <w:lang w:val="en-GB"/>
              </w:rPr>
            </w:pPr>
            <w:r w:rsidRPr="00B254BE">
              <w:rPr>
                <w:sz w:val="16"/>
                <w:szCs w:val="18"/>
                <w:lang w:val="en-GB"/>
              </w:rPr>
              <w:t>2</w:t>
            </w:r>
          </w:p>
        </w:tc>
        <w:tc>
          <w:tcPr>
            <w:tcW w:w="1843" w:type="dxa"/>
            <w:shd w:val="clear" w:color="auto" w:fill="FFFFFF"/>
          </w:tcPr>
          <w:p w14:paraId="3FBCDF2F" w14:textId="77777777" w:rsidR="006E76D8" w:rsidRPr="00B254BE" w:rsidRDefault="006E76D8" w:rsidP="007A360A">
            <w:pPr>
              <w:pStyle w:val="CETBodytext"/>
              <w:jc w:val="center"/>
              <w:rPr>
                <w:sz w:val="16"/>
                <w:szCs w:val="18"/>
                <w:lang w:val="en-GB"/>
              </w:rPr>
            </w:pPr>
            <w:r w:rsidRPr="00B254BE">
              <w:rPr>
                <w:sz w:val="16"/>
                <w:szCs w:val="18"/>
              </w:rPr>
              <w:t>8 h / week</w:t>
            </w:r>
          </w:p>
        </w:tc>
        <w:tc>
          <w:tcPr>
            <w:tcW w:w="5245" w:type="dxa"/>
            <w:shd w:val="clear" w:color="auto" w:fill="FFFFFF"/>
          </w:tcPr>
          <w:p w14:paraId="4BCADB66" w14:textId="77777777" w:rsidR="006E76D8" w:rsidRPr="00B254BE" w:rsidRDefault="006E76D8" w:rsidP="007A360A">
            <w:pPr>
              <w:pStyle w:val="CETBodytext"/>
              <w:jc w:val="center"/>
              <w:rPr>
                <w:color w:val="FF0000"/>
                <w:sz w:val="16"/>
                <w:szCs w:val="18"/>
                <w:highlight w:val="yellow"/>
                <w:lang w:val="en-GB"/>
              </w:rPr>
            </w:pPr>
            <w:r w:rsidRPr="00B254BE">
              <w:rPr>
                <w:sz w:val="16"/>
                <w:szCs w:val="18"/>
              </w:rPr>
              <w:t>1 day a week</w:t>
            </w:r>
          </w:p>
        </w:tc>
      </w:tr>
      <w:tr w:rsidR="006E76D8" w:rsidRPr="00B57B36" w14:paraId="5ADADB43" w14:textId="77777777" w:rsidTr="007A360A">
        <w:trPr>
          <w:trHeight w:val="212"/>
        </w:trPr>
        <w:tc>
          <w:tcPr>
            <w:tcW w:w="1276" w:type="dxa"/>
            <w:shd w:val="clear" w:color="auto" w:fill="FFFFFF"/>
          </w:tcPr>
          <w:p w14:paraId="4F0351DC" w14:textId="77777777" w:rsidR="006E76D8" w:rsidRPr="00B254BE" w:rsidRDefault="006E76D8" w:rsidP="007A360A">
            <w:pPr>
              <w:pStyle w:val="CETBodytext"/>
              <w:jc w:val="center"/>
              <w:rPr>
                <w:sz w:val="16"/>
                <w:szCs w:val="18"/>
                <w:lang w:val="en-GB"/>
              </w:rPr>
            </w:pPr>
            <w:r w:rsidRPr="00B254BE">
              <w:rPr>
                <w:sz w:val="16"/>
                <w:szCs w:val="18"/>
                <w:lang w:val="en-GB"/>
              </w:rPr>
              <w:t>1</w:t>
            </w:r>
          </w:p>
        </w:tc>
        <w:tc>
          <w:tcPr>
            <w:tcW w:w="1843" w:type="dxa"/>
            <w:shd w:val="clear" w:color="auto" w:fill="FFFFFF"/>
          </w:tcPr>
          <w:p w14:paraId="4D68414F" w14:textId="77777777" w:rsidR="006E76D8" w:rsidRPr="00B254BE" w:rsidRDefault="006E76D8" w:rsidP="007A360A">
            <w:pPr>
              <w:pStyle w:val="CETBodytext"/>
              <w:jc w:val="center"/>
              <w:rPr>
                <w:sz w:val="16"/>
                <w:szCs w:val="18"/>
                <w:lang w:val="en-GB"/>
              </w:rPr>
            </w:pPr>
            <w:r w:rsidRPr="00B254BE">
              <w:rPr>
                <w:sz w:val="16"/>
                <w:szCs w:val="18"/>
              </w:rPr>
              <w:t>4 h / week</w:t>
            </w:r>
          </w:p>
        </w:tc>
        <w:tc>
          <w:tcPr>
            <w:tcW w:w="5245" w:type="dxa"/>
            <w:shd w:val="clear" w:color="auto" w:fill="FFFFFF"/>
          </w:tcPr>
          <w:p w14:paraId="339E4C1E" w14:textId="77777777" w:rsidR="006E76D8" w:rsidRPr="00B254BE" w:rsidRDefault="006E76D8" w:rsidP="007A360A">
            <w:pPr>
              <w:pStyle w:val="CETBodytext"/>
              <w:jc w:val="center"/>
              <w:rPr>
                <w:sz w:val="16"/>
                <w:szCs w:val="18"/>
                <w:lang w:val="en-GB"/>
              </w:rPr>
            </w:pPr>
            <w:r w:rsidRPr="00B254BE">
              <w:rPr>
                <w:sz w:val="16"/>
                <w:szCs w:val="18"/>
              </w:rPr>
              <w:t>½ day a week</w:t>
            </w:r>
          </w:p>
        </w:tc>
      </w:tr>
    </w:tbl>
    <w:p w14:paraId="191A744E" w14:textId="6DDBBC35" w:rsidR="006E76D8" w:rsidRPr="00E6578A" w:rsidRDefault="006E76D8" w:rsidP="006E76D8">
      <w:pPr>
        <w:pStyle w:val="CETBodytext"/>
        <w:rPr>
          <w:sz w:val="16"/>
        </w:rPr>
      </w:pPr>
      <w:r w:rsidRPr="00E6578A">
        <w:rPr>
          <w:sz w:val="16"/>
        </w:rPr>
        <w:t>(*) I</w:t>
      </w:r>
      <w:r w:rsidRPr="00E6578A">
        <w:rPr>
          <w:sz w:val="16"/>
          <w:vertAlign w:val="subscript"/>
        </w:rPr>
        <w:t>e</w:t>
      </w:r>
      <w:r w:rsidR="00E6578A" w:rsidRPr="00E6578A">
        <w:rPr>
          <w:sz w:val="16"/>
        </w:rPr>
        <w:t xml:space="preserve"> is reduced by 1 unit if workers are well trained on the risks associated with the use of </w:t>
      </w:r>
      <w:r w:rsidR="00414ED6">
        <w:rPr>
          <w:sz w:val="16"/>
        </w:rPr>
        <w:t>pressure pipes</w:t>
      </w:r>
      <w:r w:rsidRPr="00E6578A">
        <w:rPr>
          <w:sz w:val="16"/>
        </w:rPr>
        <w:t>.</w:t>
      </w:r>
    </w:p>
    <w:p w14:paraId="1C63C7AA" w14:textId="3C3D0197" w:rsidR="00652D07" w:rsidRDefault="0096287F" w:rsidP="00652D07">
      <w:pPr>
        <w:pStyle w:val="CETheadingx"/>
      </w:pPr>
      <w:r>
        <w:t>Risk</w:t>
      </w:r>
      <w:r w:rsidR="00652D07" w:rsidRPr="00021151">
        <w:t xml:space="preserve"> index I</w:t>
      </w:r>
      <w:r>
        <w:rPr>
          <w:vertAlign w:val="subscript"/>
        </w:rPr>
        <w:t>R</w:t>
      </w:r>
      <w:r w:rsidR="00652D07" w:rsidRPr="00021151">
        <w:t xml:space="preserve"> </w:t>
      </w:r>
    </w:p>
    <w:p w14:paraId="3AEF8366" w14:textId="4BBC9B53" w:rsidR="00652D07" w:rsidRDefault="0096287F" w:rsidP="00652D07">
      <w:pPr>
        <w:pStyle w:val="CETBodytext"/>
      </w:pPr>
      <w:r w:rsidRPr="0096287F">
        <w:t xml:space="preserve">Table 3 shows the risk matrix by which the risk index </w:t>
      </w:r>
      <w:r>
        <w:t>I</w:t>
      </w:r>
      <w:r w:rsidRPr="0030145E">
        <w:rPr>
          <w:vertAlign w:val="subscript"/>
        </w:rPr>
        <w:t>R</w:t>
      </w:r>
      <w:r w:rsidRPr="0096287F">
        <w:t xml:space="preserve"> of a pressure pipe is determined, </w:t>
      </w:r>
      <w:r>
        <w:t>after evaluating</w:t>
      </w:r>
      <w:r w:rsidRPr="0096287F">
        <w:t xml:space="preserve"> </w:t>
      </w:r>
      <w:r>
        <w:t>I</w:t>
      </w:r>
      <w:r>
        <w:rPr>
          <w:vertAlign w:val="subscript"/>
        </w:rPr>
        <w:t>D</w:t>
      </w:r>
      <w:r>
        <w:t xml:space="preserve"> </w:t>
      </w:r>
      <w:r w:rsidRPr="0096287F">
        <w:t xml:space="preserve"> and </w:t>
      </w:r>
      <w:r>
        <w:t>I</w:t>
      </w:r>
      <w:r>
        <w:rPr>
          <w:vertAlign w:val="subscript"/>
        </w:rPr>
        <w:t>P</w:t>
      </w:r>
      <w:r w:rsidRPr="0096287F">
        <w:t xml:space="preserve"> for the same pressure pipe</w:t>
      </w:r>
      <w:r>
        <w:t xml:space="preserve"> by means, respectively, of Table 1 and Table 2</w:t>
      </w:r>
      <w:r w:rsidRPr="0096287F">
        <w:t xml:space="preserve">, using </w:t>
      </w:r>
      <w:r>
        <w:t>relationship</w:t>
      </w:r>
      <w:r w:rsidRPr="0096287F">
        <w:t xml:space="preserve"> (2).</w:t>
      </w:r>
    </w:p>
    <w:p w14:paraId="48438F44" w14:textId="2F7AC534" w:rsidR="00E41330" w:rsidRPr="00E41330" w:rsidRDefault="00E41330" w:rsidP="000647E1">
      <w:pPr>
        <w:pStyle w:val="CETTabletitle"/>
        <w:keepLines/>
      </w:pPr>
      <w:r w:rsidRPr="00B57B36">
        <w:lastRenderedPageBreak/>
        <w:t xml:space="preserve">Table </w:t>
      </w:r>
      <w:r>
        <w:t>3</w:t>
      </w:r>
      <w:r w:rsidRPr="00B57B36">
        <w:t xml:space="preserve">: </w:t>
      </w:r>
      <w:r>
        <w:t>Risk</w:t>
      </w:r>
      <w:r w:rsidRPr="00705B2A">
        <w:t xml:space="preserve"> index</w:t>
      </w:r>
      <w:r>
        <w:t xml:space="preserve"> I</w:t>
      </w:r>
      <w:r w:rsidRPr="0030145E">
        <w:rPr>
          <w:vertAlign w:val="subscript"/>
        </w:rPr>
        <w:t>R</w:t>
      </w:r>
      <w:r>
        <w:t>=</w:t>
      </w:r>
      <w:r w:rsidRPr="00E41330">
        <w:t xml:space="preserve"> I</w:t>
      </w:r>
      <w:r w:rsidRPr="00E41330">
        <w:rPr>
          <w:vertAlign w:val="subscript"/>
        </w:rPr>
        <w:t>D</w:t>
      </w:r>
      <w:r w:rsidR="00B85D82">
        <w:t>*</w:t>
      </w:r>
      <w:r w:rsidRPr="00E41330">
        <w:t>I</w:t>
      </w:r>
      <w:r w:rsidRPr="00E41330">
        <w:rPr>
          <w:vertAlign w:val="subscript"/>
        </w:rPr>
        <w:t>P</w:t>
      </w:r>
      <w:r>
        <w:t xml:space="preserve"> (I</w:t>
      </w:r>
      <w:r w:rsidRPr="00E41330">
        <w:rPr>
          <w:vertAlign w:val="subscript"/>
        </w:rPr>
        <w:t>D</w:t>
      </w:r>
      <w:r>
        <w:t>=</w:t>
      </w:r>
      <w:r w:rsidRPr="00E41330">
        <w:t>severity index of the damage</w:t>
      </w:r>
      <w:r>
        <w:t>, I</w:t>
      </w:r>
      <w:r>
        <w:rPr>
          <w:vertAlign w:val="subscript"/>
        </w:rPr>
        <w:t>P</w:t>
      </w:r>
      <w:r>
        <w:t>=</w:t>
      </w:r>
      <w:r w:rsidRPr="00E41330">
        <w:t>probability index of the damage</w:t>
      </w:r>
      <w:r>
        <w:t>)</w:t>
      </w:r>
    </w:p>
    <w:tbl>
      <w:tblPr>
        <w:tblW w:w="622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70"/>
        <w:gridCol w:w="1313"/>
        <w:gridCol w:w="1380"/>
        <w:gridCol w:w="854"/>
        <w:gridCol w:w="854"/>
        <w:gridCol w:w="854"/>
      </w:tblGrid>
      <w:tr w:rsidR="000647E1" w:rsidRPr="00B57B36" w14:paraId="4EDE0F4C" w14:textId="77777777" w:rsidTr="007A360A">
        <w:trPr>
          <w:trHeight w:val="212"/>
        </w:trPr>
        <w:tc>
          <w:tcPr>
            <w:tcW w:w="970" w:type="dxa"/>
            <w:tcBorders>
              <w:top w:val="single" w:sz="12" w:space="0" w:color="008000"/>
              <w:bottom w:val="single" w:sz="6" w:space="0" w:color="008000"/>
            </w:tcBorders>
            <w:shd w:val="clear" w:color="auto" w:fill="FFFFFF"/>
          </w:tcPr>
          <w:p w14:paraId="6A95698B" w14:textId="77777777" w:rsidR="000647E1" w:rsidRPr="00B254BE" w:rsidRDefault="000647E1" w:rsidP="000647E1">
            <w:pPr>
              <w:pStyle w:val="CETBodytext"/>
              <w:keepNext/>
              <w:keepLines/>
              <w:jc w:val="center"/>
              <w:rPr>
                <w:sz w:val="16"/>
                <w:szCs w:val="18"/>
                <w:lang w:val="en-GB"/>
              </w:rPr>
            </w:pPr>
            <w:r w:rsidRPr="00B254BE">
              <w:rPr>
                <w:sz w:val="16"/>
                <w:szCs w:val="18"/>
              </w:rPr>
              <w:t>I</w:t>
            </w:r>
            <w:r w:rsidRPr="00B254BE">
              <w:rPr>
                <w:sz w:val="16"/>
                <w:szCs w:val="18"/>
                <w:vertAlign w:val="subscript"/>
              </w:rPr>
              <w:t>R</w:t>
            </w:r>
            <w:r w:rsidRPr="00B254BE">
              <w:rPr>
                <w:sz w:val="16"/>
                <w:szCs w:val="18"/>
              </w:rPr>
              <w:t>= I</w:t>
            </w:r>
            <w:r w:rsidRPr="00B254BE">
              <w:rPr>
                <w:sz w:val="16"/>
                <w:szCs w:val="18"/>
                <w:vertAlign w:val="subscript"/>
              </w:rPr>
              <w:t>D</w:t>
            </w:r>
            <w:r w:rsidRPr="00B254BE">
              <w:rPr>
                <w:sz w:val="16"/>
                <w:szCs w:val="18"/>
              </w:rPr>
              <w:t>xI</w:t>
            </w:r>
            <w:r w:rsidRPr="00B254BE">
              <w:rPr>
                <w:sz w:val="16"/>
                <w:szCs w:val="18"/>
                <w:vertAlign w:val="subscript"/>
              </w:rPr>
              <w:t>P</w:t>
            </w:r>
          </w:p>
        </w:tc>
        <w:tc>
          <w:tcPr>
            <w:tcW w:w="5255" w:type="dxa"/>
            <w:gridSpan w:val="5"/>
            <w:tcBorders>
              <w:top w:val="single" w:sz="12" w:space="0" w:color="008000"/>
              <w:bottom w:val="single" w:sz="6" w:space="0" w:color="008000"/>
            </w:tcBorders>
            <w:shd w:val="clear" w:color="auto" w:fill="FFFFFF"/>
          </w:tcPr>
          <w:p w14:paraId="00FEED31" w14:textId="77777777" w:rsidR="000647E1" w:rsidRPr="00B254BE" w:rsidRDefault="000647E1" w:rsidP="000647E1">
            <w:pPr>
              <w:pStyle w:val="CETBodytext"/>
              <w:keepNext/>
              <w:keepLines/>
              <w:jc w:val="center"/>
              <w:rPr>
                <w:sz w:val="16"/>
                <w:szCs w:val="18"/>
                <w:lang w:val="en-GB"/>
              </w:rPr>
            </w:pPr>
            <w:r w:rsidRPr="00B254BE">
              <w:rPr>
                <w:sz w:val="16"/>
                <w:szCs w:val="18"/>
                <w:lang w:val="en-GB"/>
              </w:rPr>
              <w:t>I</w:t>
            </w:r>
            <w:r w:rsidRPr="00B254BE">
              <w:rPr>
                <w:sz w:val="16"/>
                <w:szCs w:val="18"/>
                <w:vertAlign w:val="subscript"/>
                <w:lang w:val="en-GB"/>
              </w:rPr>
              <w:t>P</w:t>
            </w:r>
          </w:p>
        </w:tc>
      </w:tr>
      <w:tr w:rsidR="000647E1" w:rsidRPr="00B57B36" w14:paraId="29F0BB3F" w14:textId="77777777" w:rsidTr="007A360A">
        <w:trPr>
          <w:trHeight w:val="212"/>
        </w:trPr>
        <w:tc>
          <w:tcPr>
            <w:tcW w:w="970" w:type="dxa"/>
            <w:vMerge w:val="restart"/>
            <w:shd w:val="clear" w:color="auto" w:fill="FFFFFF"/>
          </w:tcPr>
          <w:p w14:paraId="37FDADAE" w14:textId="77777777" w:rsidR="000647E1" w:rsidRPr="00B254BE" w:rsidRDefault="000647E1" w:rsidP="000647E1">
            <w:pPr>
              <w:pStyle w:val="CETBodytext"/>
              <w:keepNext/>
              <w:keepLines/>
              <w:jc w:val="center"/>
              <w:rPr>
                <w:sz w:val="16"/>
                <w:szCs w:val="18"/>
                <w:lang w:val="en-GB"/>
              </w:rPr>
            </w:pPr>
          </w:p>
          <w:p w14:paraId="19FCADB3" w14:textId="77777777" w:rsidR="000647E1" w:rsidRPr="00B254BE" w:rsidRDefault="000647E1" w:rsidP="000647E1">
            <w:pPr>
              <w:pStyle w:val="CETBodytext"/>
              <w:keepNext/>
              <w:keepLines/>
              <w:jc w:val="center"/>
              <w:rPr>
                <w:sz w:val="16"/>
                <w:szCs w:val="18"/>
                <w:lang w:val="en-GB"/>
              </w:rPr>
            </w:pPr>
          </w:p>
          <w:p w14:paraId="0DA07C6E" w14:textId="77777777" w:rsidR="000647E1" w:rsidRPr="00B254BE" w:rsidRDefault="000647E1" w:rsidP="000647E1">
            <w:pPr>
              <w:pStyle w:val="CETBodytext"/>
              <w:keepNext/>
              <w:keepLines/>
              <w:jc w:val="center"/>
              <w:rPr>
                <w:sz w:val="16"/>
                <w:szCs w:val="18"/>
                <w:lang w:val="en-GB"/>
              </w:rPr>
            </w:pPr>
            <w:r w:rsidRPr="00B254BE">
              <w:rPr>
                <w:sz w:val="16"/>
                <w:szCs w:val="18"/>
                <w:lang w:val="en-GB"/>
              </w:rPr>
              <w:t>I</w:t>
            </w:r>
            <w:r w:rsidRPr="00B254BE">
              <w:rPr>
                <w:sz w:val="16"/>
                <w:szCs w:val="18"/>
                <w:vertAlign w:val="subscript"/>
                <w:lang w:val="en-GB"/>
              </w:rPr>
              <w:t>D</w:t>
            </w:r>
          </w:p>
        </w:tc>
        <w:tc>
          <w:tcPr>
            <w:tcW w:w="1313" w:type="dxa"/>
            <w:shd w:val="clear" w:color="auto" w:fill="92D050"/>
          </w:tcPr>
          <w:p w14:paraId="60D2379D" w14:textId="77777777" w:rsidR="000647E1" w:rsidRPr="00B254BE" w:rsidRDefault="000647E1" w:rsidP="000647E1">
            <w:pPr>
              <w:pStyle w:val="CETBodytext"/>
              <w:keepNext/>
              <w:keepLines/>
              <w:jc w:val="center"/>
              <w:rPr>
                <w:sz w:val="16"/>
                <w:szCs w:val="18"/>
                <w:lang w:val="en-GB"/>
              </w:rPr>
            </w:pPr>
            <w:r w:rsidRPr="00B254BE">
              <w:rPr>
                <w:sz w:val="16"/>
                <w:szCs w:val="18"/>
                <w:lang w:val="en-GB"/>
              </w:rPr>
              <w:t>5</w:t>
            </w:r>
          </w:p>
        </w:tc>
        <w:tc>
          <w:tcPr>
            <w:tcW w:w="1380" w:type="dxa"/>
            <w:shd w:val="clear" w:color="auto" w:fill="FFFF00"/>
          </w:tcPr>
          <w:p w14:paraId="7BAC6FF4" w14:textId="77777777" w:rsidR="000647E1" w:rsidRPr="00B254BE" w:rsidRDefault="000647E1" w:rsidP="000647E1">
            <w:pPr>
              <w:pStyle w:val="CETBodytext"/>
              <w:keepNext/>
              <w:keepLines/>
              <w:jc w:val="center"/>
              <w:rPr>
                <w:sz w:val="16"/>
                <w:szCs w:val="18"/>
                <w:lang w:val="en-GB"/>
              </w:rPr>
            </w:pPr>
            <w:r w:rsidRPr="00B254BE">
              <w:rPr>
                <w:sz w:val="16"/>
                <w:szCs w:val="18"/>
                <w:lang w:val="en-GB"/>
              </w:rPr>
              <w:t>10</w:t>
            </w:r>
          </w:p>
        </w:tc>
        <w:tc>
          <w:tcPr>
            <w:tcW w:w="854" w:type="dxa"/>
            <w:shd w:val="clear" w:color="auto" w:fill="FFFF00"/>
          </w:tcPr>
          <w:p w14:paraId="214FCF64" w14:textId="77777777" w:rsidR="000647E1" w:rsidRPr="00B254BE" w:rsidRDefault="000647E1" w:rsidP="000647E1">
            <w:pPr>
              <w:pStyle w:val="CETBodytext"/>
              <w:keepNext/>
              <w:keepLines/>
              <w:jc w:val="center"/>
              <w:rPr>
                <w:sz w:val="16"/>
                <w:szCs w:val="18"/>
              </w:rPr>
            </w:pPr>
            <w:r w:rsidRPr="00B254BE">
              <w:rPr>
                <w:sz w:val="16"/>
                <w:szCs w:val="18"/>
              </w:rPr>
              <w:t>15</w:t>
            </w:r>
          </w:p>
        </w:tc>
        <w:tc>
          <w:tcPr>
            <w:tcW w:w="854" w:type="dxa"/>
            <w:shd w:val="clear" w:color="auto" w:fill="FFC000"/>
          </w:tcPr>
          <w:p w14:paraId="0DD3EA9A" w14:textId="77777777" w:rsidR="000647E1" w:rsidRPr="00B254BE" w:rsidRDefault="000647E1" w:rsidP="000647E1">
            <w:pPr>
              <w:pStyle w:val="CETBodytext"/>
              <w:keepNext/>
              <w:keepLines/>
              <w:jc w:val="center"/>
              <w:rPr>
                <w:sz w:val="16"/>
                <w:szCs w:val="18"/>
              </w:rPr>
            </w:pPr>
            <w:r w:rsidRPr="00B254BE">
              <w:rPr>
                <w:sz w:val="16"/>
                <w:szCs w:val="18"/>
              </w:rPr>
              <w:t>20</w:t>
            </w:r>
          </w:p>
        </w:tc>
        <w:tc>
          <w:tcPr>
            <w:tcW w:w="854" w:type="dxa"/>
            <w:shd w:val="clear" w:color="auto" w:fill="FFC000"/>
          </w:tcPr>
          <w:p w14:paraId="15DBBD10" w14:textId="77777777" w:rsidR="000647E1" w:rsidRPr="00B254BE" w:rsidRDefault="000647E1" w:rsidP="000647E1">
            <w:pPr>
              <w:pStyle w:val="CETBodytext"/>
              <w:keepNext/>
              <w:keepLines/>
              <w:jc w:val="center"/>
              <w:rPr>
                <w:sz w:val="16"/>
                <w:szCs w:val="18"/>
              </w:rPr>
            </w:pPr>
            <w:r w:rsidRPr="00B254BE">
              <w:rPr>
                <w:sz w:val="16"/>
                <w:szCs w:val="18"/>
              </w:rPr>
              <w:t>25</w:t>
            </w:r>
          </w:p>
        </w:tc>
      </w:tr>
      <w:tr w:rsidR="000647E1" w:rsidRPr="00B57B36" w14:paraId="0C7C151D" w14:textId="77777777" w:rsidTr="007A360A">
        <w:trPr>
          <w:trHeight w:val="203"/>
        </w:trPr>
        <w:tc>
          <w:tcPr>
            <w:tcW w:w="970" w:type="dxa"/>
            <w:vMerge/>
            <w:shd w:val="clear" w:color="auto" w:fill="FFFFFF"/>
          </w:tcPr>
          <w:p w14:paraId="134C2EB7" w14:textId="77777777" w:rsidR="000647E1" w:rsidRPr="00B254BE" w:rsidRDefault="000647E1" w:rsidP="000647E1">
            <w:pPr>
              <w:pStyle w:val="CETBodytext"/>
              <w:keepNext/>
              <w:keepLines/>
              <w:jc w:val="center"/>
              <w:rPr>
                <w:sz w:val="16"/>
                <w:szCs w:val="18"/>
                <w:lang w:val="en-GB"/>
              </w:rPr>
            </w:pPr>
          </w:p>
        </w:tc>
        <w:tc>
          <w:tcPr>
            <w:tcW w:w="1313" w:type="dxa"/>
            <w:shd w:val="clear" w:color="auto" w:fill="92D050"/>
          </w:tcPr>
          <w:p w14:paraId="6CA8D940" w14:textId="77777777" w:rsidR="000647E1" w:rsidRPr="00B254BE" w:rsidRDefault="000647E1" w:rsidP="000647E1">
            <w:pPr>
              <w:pStyle w:val="CETBodytext"/>
              <w:keepNext/>
              <w:keepLines/>
              <w:jc w:val="center"/>
              <w:rPr>
                <w:sz w:val="16"/>
                <w:szCs w:val="18"/>
                <w:lang w:val="en-GB"/>
              </w:rPr>
            </w:pPr>
            <w:r w:rsidRPr="00B254BE">
              <w:rPr>
                <w:sz w:val="16"/>
                <w:szCs w:val="18"/>
                <w:lang w:val="en-GB"/>
              </w:rPr>
              <w:t>4</w:t>
            </w:r>
          </w:p>
        </w:tc>
        <w:tc>
          <w:tcPr>
            <w:tcW w:w="1380" w:type="dxa"/>
            <w:shd w:val="clear" w:color="auto" w:fill="FFFF00"/>
          </w:tcPr>
          <w:p w14:paraId="24A363FD" w14:textId="77777777" w:rsidR="000647E1" w:rsidRPr="00B254BE" w:rsidRDefault="000647E1" w:rsidP="000647E1">
            <w:pPr>
              <w:pStyle w:val="CETBodytext"/>
              <w:keepNext/>
              <w:keepLines/>
              <w:jc w:val="center"/>
              <w:rPr>
                <w:sz w:val="16"/>
                <w:szCs w:val="18"/>
                <w:lang w:val="en-GB"/>
              </w:rPr>
            </w:pPr>
            <w:r w:rsidRPr="00B254BE">
              <w:rPr>
                <w:sz w:val="16"/>
                <w:szCs w:val="18"/>
                <w:lang w:val="en-GB"/>
              </w:rPr>
              <w:t>8</w:t>
            </w:r>
          </w:p>
        </w:tc>
        <w:tc>
          <w:tcPr>
            <w:tcW w:w="854" w:type="dxa"/>
            <w:shd w:val="clear" w:color="auto" w:fill="FFFF00"/>
          </w:tcPr>
          <w:p w14:paraId="2B3F9E94" w14:textId="77777777" w:rsidR="000647E1" w:rsidRPr="00B254BE" w:rsidRDefault="000647E1" w:rsidP="000647E1">
            <w:pPr>
              <w:pStyle w:val="CETBodytext"/>
              <w:keepNext/>
              <w:keepLines/>
              <w:jc w:val="center"/>
              <w:rPr>
                <w:sz w:val="16"/>
                <w:szCs w:val="18"/>
              </w:rPr>
            </w:pPr>
            <w:r w:rsidRPr="00B254BE">
              <w:rPr>
                <w:sz w:val="16"/>
                <w:szCs w:val="18"/>
              </w:rPr>
              <w:t>12</w:t>
            </w:r>
          </w:p>
        </w:tc>
        <w:tc>
          <w:tcPr>
            <w:tcW w:w="854" w:type="dxa"/>
            <w:shd w:val="clear" w:color="auto" w:fill="FFFF00"/>
          </w:tcPr>
          <w:p w14:paraId="42B35A0C" w14:textId="77777777" w:rsidR="000647E1" w:rsidRPr="00B254BE" w:rsidRDefault="000647E1" w:rsidP="000647E1">
            <w:pPr>
              <w:pStyle w:val="CETBodytext"/>
              <w:keepNext/>
              <w:keepLines/>
              <w:jc w:val="center"/>
              <w:rPr>
                <w:sz w:val="16"/>
                <w:szCs w:val="18"/>
              </w:rPr>
            </w:pPr>
            <w:r w:rsidRPr="00B254BE">
              <w:rPr>
                <w:sz w:val="16"/>
                <w:szCs w:val="18"/>
              </w:rPr>
              <w:t>16</w:t>
            </w:r>
          </w:p>
        </w:tc>
        <w:tc>
          <w:tcPr>
            <w:tcW w:w="854" w:type="dxa"/>
            <w:shd w:val="clear" w:color="auto" w:fill="FFC000"/>
          </w:tcPr>
          <w:p w14:paraId="759266BB" w14:textId="77777777" w:rsidR="000647E1" w:rsidRPr="00B254BE" w:rsidRDefault="000647E1" w:rsidP="000647E1">
            <w:pPr>
              <w:pStyle w:val="CETBodytext"/>
              <w:keepNext/>
              <w:keepLines/>
              <w:jc w:val="center"/>
              <w:rPr>
                <w:sz w:val="16"/>
                <w:szCs w:val="18"/>
              </w:rPr>
            </w:pPr>
            <w:r w:rsidRPr="00B254BE">
              <w:rPr>
                <w:sz w:val="16"/>
                <w:szCs w:val="18"/>
              </w:rPr>
              <w:t>20</w:t>
            </w:r>
          </w:p>
        </w:tc>
      </w:tr>
      <w:tr w:rsidR="000647E1" w:rsidRPr="00B57B36" w14:paraId="26A34926" w14:textId="77777777" w:rsidTr="007A360A">
        <w:trPr>
          <w:trHeight w:val="203"/>
        </w:trPr>
        <w:tc>
          <w:tcPr>
            <w:tcW w:w="970" w:type="dxa"/>
            <w:vMerge/>
            <w:shd w:val="clear" w:color="auto" w:fill="FFFFFF"/>
          </w:tcPr>
          <w:p w14:paraId="0F42B2B5" w14:textId="77777777" w:rsidR="000647E1" w:rsidRPr="00B254BE" w:rsidRDefault="000647E1" w:rsidP="000647E1">
            <w:pPr>
              <w:pStyle w:val="CETBodytext"/>
              <w:keepNext/>
              <w:keepLines/>
              <w:jc w:val="center"/>
              <w:rPr>
                <w:sz w:val="16"/>
                <w:szCs w:val="18"/>
                <w:lang w:val="en-GB"/>
              </w:rPr>
            </w:pPr>
          </w:p>
        </w:tc>
        <w:tc>
          <w:tcPr>
            <w:tcW w:w="1313" w:type="dxa"/>
            <w:shd w:val="clear" w:color="auto" w:fill="92D050"/>
          </w:tcPr>
          <w:p w14:paraId="0CCE93F0" w14:textId="77777777" w:rsidR="000647E1" w:rsidRPr="00B254BE" w:rsidRDefault="000647E1" w:rsidP="000647E1">
            <w:pPr>
              <w:pStyle w:val="CETBodytext"/>
              <w:keepNext/>
              <w:keepLines/>
              <w:jc w:val="center"/>
              <w:rPr>
                <w:sz w:val="16"/>
                <w:szCs w:val="18"/>
                <w:lang w:val="en-GB"/>
              </w:rPr>
            </w:pPr>
            <w:r w:rsidRPr="00B254BE">
              <w:rPr>
                <w:sz w:val="16"/>
                <w:szCs w:val="18"/>
                <w:lang w:val="en-GB"/>
              </w:rPr>
              <w:t>3</w:t>
            </w:r>
          </w:p>
        </w:tc>
        <w:tc>
          <w:tcPr>
            <w:tcW w:w="1380" w:type="dxa"/>
            <w:shd w:val="clear" w:color="auto" w:fill="92D050"/>
          </w:tcPr>
          <w:p w14:paraId="6C0E0AEB" w14:textId="77777777" w:rsidR="000647E1" w:rsidRPr="00B254BE" w:rsidRDefault="000647E1" w:rsidP="000647E1">
            <w:pPr>
              <w:pStyle w:val="CETBodytext"/>
              <w:keepNext/>
              <w:keepLines/>
              <w:jc w:val="center"/>
              <w:rPr>
                <w:sz w:val="16"/>
                <w:szCs w:val="18"/>
                <w:lang w:val="en-GB"/>
              </w:rPr>
            </w:pPr>
            <w:r w:rsidRPr="00B254BE">
              <w:rPr>
                <w:sz w:val="16"/>
                <w:szCs w:val="18"/>
                <w:lang w:val="en-GB"/>
              </w:rPr>
              <w:t>6</w:t>
            </w:r>
          </w:p>
        </w:tc>
        <w:tc>
          <w:tcPr>
            <w:tcW w:w="854" w:type="dxa"/>
            <w:shd w:val="clear" w:color="auto" w:fill="FFFF00"/>
          </w:tcPr>
          <w:p w14:paraId="71C5C411" w14:textId="77777777" w:rsidR="000647E1" w:rsidRPr="00B254BE" w:rsidRDefault="000647E1" w:rsidP="000647E1">
            <w:pPr>
              <w:pStyle w:val="CETBodytext"/>
              <w:keepNext/>
              <w:keepLines/>
              <w:jc w:val="center"/>
              <w:rPr>
                <w:sz w:val="16"/>
                <w:szCs w:val="18"/>
              </w:rPr>
            </w:pPr>
            <w:r w:rsidRPr="00B254BE">
              <w:rPr>
                <w:sz w:val="16"/>
                <w:szCs w:val="18"/>
              </w:rPr>
              <w:t>9</w:t>
            </w:r>
          </w:p>
        </w:tc>
        <w:tc>
          <w:tcPr>
            <w:tcW w:w="854" w:type="dxa"/>
            <w:shd w:val="clear" w:color="auto" w:fill="FFFF00"/>
          </w:tcPr>
          <w:p w14:paraId="4AFFB331" w14:textId="77777777" w:rsidR="000647E1" w:rsidRPr="00B254BE" w:rsidRDefault="000647E1" w:rsidP="000647E1">
            <w:pPr>
              <w:pStyle w:val="CETBodytext"/>
              <w:keepNext/>
              <w:keepLines/>
              <w:jc w:val="center"/>
              <w:rPr>
                <w:sz w:val="16"/>
                <w:szCs w:val="18"/>
              </w:rPr>
            </w:pPr>
            <w:r w:rsidRPr="00B254BE">
              <w:rPr>
                <w:sz w:val="16"/>
                <w:szCs w:val="18"/>
              </w:rPr>
              <w:t>12</w:t>
            </w:r>
          </w:p>
        </w:tc>
        <w:tc>
          <w:tcPr>
            <w:tcW w:w="854" w:type="dxa"/>
            <w:shd w:val="clear" w:color="auto" w:fill="FFFF00"/>
          </w:tcPr>
          <w:p w14:paraId="4E8A31BF" w14:textId="77777777" w:rsidR="000647E1" w:rsidRPr="00B254BE" w:rsidRDefault="000647E1" w:rsidP="000647E1">
            <w:pPr>
              <w:pStyle w:val="CETBodytext"/>
              <w:keepNext/>
              <w:keepLines/>
              <w:jc w:val="center"/>
              <w:rPr>
                <w:sz w:val="16"/>
                <w:szCs w:val="18"/>
              </w:rPr>
            </w:pPr>
            <w:r w:rsidRPr="00B254BE">
              <w:rPr>
                <w:sz w:val="16"/>
                <w:szCs w:val="18"/>
              </w:rPr>
              <w:t>15</w:t>
            </w:r>
          </w:p>
        </w:tc>
      </w:tr>
      <w:tr w:rsidR="000647E1" w:rsidRPr="00B57B36" w14:paraId="3E642E2A" w14:textId="77777777" w:rsidTr="007A360A">
        <w:trPr>
          <w:trHeight w:val="203"/>
        </w:trPr>
        <w:tc>
          <w:tcPr>
            <w:tcW w:w="970" w:type="dxa"/>
            <w:vMerge/>
            <w:shd w:val="clear" w:color="auto" w:fill="FFFFFF"/>
          </w:tcPr>
          <w:p w14:paraId="613A0BB2" w14:textId="77777777" w:rsidR="000647E1" w:rsidRPr="00B254BE" w:rsidRDefault="000647E1" w:rsidP="000647E1">
            <w:pPr>
              <w:pStyle w:val="CETBodytext"/>
              <w:keepNext/>
              <w:keepLines/>
              <w:jc w:val="center"/>
              <w:rPr>
                <w:sz w:val="16"/>
                <w:szCs w:val="18"/>
                <w:lang w:val="en-GB"/>
              </w:rPr>
            </w:pPr>
          </w:p>
        </w:tc>
        <w:tc>
          <w:tcPr>
            <w:tcW w:w="1313" w:type="dxa"/>
            <w:shd w:val="clear" w:color="auto" w:fill="92D050"/>
          </w:tcPr>
          <w:p w14:paraId="0ADFA427" w14:textId="77777777" w:rsidR="000647E1" w:rsidRPr="00B254BE" w:rsidRDefault="000647E1" w:rsidP="000647E1">
            <w:pPr>
              <w:pStyle w:val="CETBodytext"/>
              <w:keepNext/>
              <w:keepLines/>
              <w:jc w:val="center"/>
              <w:rPr>
                <w:sz w:val="16"/>
                <w:szCs w:val="18"/>
                <w:lang w:val="en-GB"/>
              </w:rPr>
            </w:pPr>
            <w:r w:rsidRPr="00B254BE">
              <w:rPr>
                <w:sz w:val="16"/>
                <w:szCs w:val="18"/>
                <w:lang w:val="en-GB"/>
              </w:rPr>
              <w:t>2</w:t>
            </w:r>
          </w:p>
        </w:tc>
        <w:tc>
          <w:tcPr>
            <w:tcW w:w="1380" w:type="dxa"/>
            <w:shd w:val="clear" w:color="auto" w:fill="92D050"/>
          </w:tcPr>
          <w:p w14:paraId="40A922A4" w14:textId="77777777" w:rsidR="000647E1" w:rsidRPr="00B254BE" w:rsidRDefault="000647E1" w:rsidP="000647E1">
            <w:pPr>
              <w:pStyle w:val="CETBodytext"/>
              <w:keepNext/>
              <w:keepLines/>
              <w:jc w:val="center"/>
              <w:rPr>
                <w:sz w:val="16"/>
                <w:szCs w:val="18"/>
                <w:lang w:val="en-GB"/>
              </w:rPr>
            </w:pPr>
            <w:r w:rsidRPr="00B254BE">
              <w:rPr>
                <w:sz w:val="16"/>
                <w:szCs w:val="18"/>
                <w:lang w:val="en-GB"/>
              </w:rPr>
              <w:t>4</w:t>
            </w:r>
          </w:p>
        </w:tc>
        <w:tc>
          <w:tcPr>
            <w:tcW w:w="854" w:type="dxa"/>
            <w:shd w:val="clear" w:color="auto" w:fill="92D050"/>
          </w:tcPr>
          <w:p w14:paraId="33A2C971" w14:textId="77777777" w:rsidR="000647E1" w:rsidRPr="00B254BE" w:rsidRDefault="000647E1" w:rsidP="000647E1">
            <w:pPr>
              <w:pStyle w:val="CETBodytext"/>
              <w:keepNext/>
              <w:keepLines/>
              <w:jc w:val="center"/>
              <w:rPr>
                <w:sz w:val="16"/>
                <w:szCs w:val="18"/>
              </w:rPr>
            </w:pPr>
            <w:r w:rsidRPr="00B254BE">
              <w:rPr>
                <w:sz w:val="16"/>
                <w:szCs w:val="18"/>
              </w:rPr>
              <w:t>6</w:t>
            </w:r>
          </w:p>
        </w:tc>
        <w:tc>
          <w:tcPr>
            <w:tcW w:w="854" w:type="dxa"/>
            <w:shd w:val="clear" w:color="auto" w:fill="FFFF00"/>
          </w:tcPr>
          <w:p w14:paraId="0716C20E" w14:textId="77777777" w:rsidR="000647E1" w:rsidRPr="00B254BE" w:rsidRDefault="000647E1" w:rsidP="000647E1">
            <w:pPr>
              <w:pStyle w:val="CETBodytext"/>
              <w:keepNext/>
              <w:keepLines/>
              <w:jc w:val="center"/>
              <w:rPr>
                <w:sz w:val="16"/>
                <w:szCs w:val="18"/>
              </w:rPr>
            </w:pPr>
            <w:r w:rsidRPr="00B254BE">
              <w:rPr>
                <w:sz w:val="16"/>
                <w:szCs w:val="18"/>
              </w:rPr>
              <w:t>8</w:t>
            </w:r>
          </w:p>
        </w:tc>
        <w:tc>
          <w:tcPr>
            <w:tcW w:w="854" w:type="dxa"/>
            <w:shd w:val="clear" w:color="auto" w:fill="FFFF00"/>
          </w:tcPr>
          <w:p w14:paraId="0F1F49F0" w14:textId="77777777" w:rsidR="000647E1" w:rsidRPr="00B254BE" w:rsidRDefault="000647E1" w:rsidP="000647E1">
            <w:pPr>
              <w:pStyle w:val="CETBodytext"/>
              <w:keepNext/>
              <w:keepLines/>
              <w:jc w:val="center"/>
              <w:rPr>
                <w:sz w:val="16"/>
                <w:szCs w:val="18"/>
              </w:rPr>
            </w:pPr>
            <w:r w:rsidRPr="00B254BE">
              <w:rPr>
                <w:sz w:val="16"/>
                <w:szCs w:val="18"/>
              </w:rPr>
              <w:t>10</w:t>
            </w:r>
          </w:p>
        </w:tc>
      </w:tr>
      <w:tr w:rsidR="000647E1" w:rsidRPr="00B57B36" w14:paraId="14A409E4" w14:textId="77777777" w:rsidTr="007A360A">
        <w:trPr>
          <w:trHeight w:val="212"/>
        </w:trPr>
        <w:tc>
          <w:tcPr>
            <w:tcW w:w="970" w:type="dxa"/>
            <w:vMerge/>
            <w:shd w:val="clear" w:color="auto" w:fill="FFFFFF"/>
          </w:tcPr>
          <w:p w14:paraId="244BE105" w14:textId="77777777" w:rsidR="000647E1" w:rsidRPr="00B254BE" w:rsidRDefault="000647E1" w:rsidP="000647E1">
            <w:pPr>
              <w:pStyle w:val="CETBodytext"/>
              <w:keepNext/>
              <w:keepLines/>
              <w:jc w:val="center"/>
              <w:rPr>
                <w:sz w:val="16"/>
                <w:szCs w:val="18"/>
                <w:lang w:val="en-GB"/>
              </w:rPr>
            </w:pPr>
          </w:p>
        </w:tc>
        <w:tc>
          <w:tcPr>
            <w:tcW w:w="1313" w:type="dxa"/>
            <w:shd w:val="clear" w:color="auto" w:fill="92D050"/>
          </w:tcPr>
          <w:p w14:paraId="0E04358A" w14:textId="77777777" w:rsidR="000647E1" w:rsidRPr="00B254BE" w:rsidRDefault="000647E1" w:rsidP="000647E1">
            <w:pPr>
              <w:pStyle w:val="CETBodytext"/>
              <w:keepNext/>
              <w:keepLines/>
              <w:jc w:val="center"/>
              <w:rPr>
                <w:sz w:val="16"/>
                <w:szCs w:val="18"/>
                <w:lang w:val="en-GB"/>
              </w:rPr>
            </w:pPr>
            <w:r w:rsidRPr="00B254BE">
              <w:rPr>
                <w:sz w:val="16"/>
                <w:szCs w:val="18"/>
                <w:lang w:val="en-GB"/>
              </w:rPr>
              <w:t>1</w:t>
            </w:r>
          </w:p>
        </w:tc>
        <w:tc>
          <w:tcPr>
            <w:tcW w:w="1380" w:type="dxa"/>
            <w:shd w:val="clear" w:color="auto" w:fill="92D050"/>
          </w:tcPr>
          <w:p w14:paraId="5286B5DD" w14:textId="77777777" w:rsidR="000647E1" w:rsidRPr="00B254BE" w:rsidRDefault="000647E1" w:rsidP="000647E1">
            <w:pPr>
              <w:pStyle w:val="CETBodytext"/>
              <w:keepNext/>
              <w:keepLines/>
              <w:jc w:val="center"/>
              <w:rPr>
                <w:sz w:val="16"/>
                <w:szCs w:val="18"/>
                <w:lang w:val="en-GB"/>
              </w:rPr>
            </w:pPr>
            <w:r w:rsidRPr="00B254BE">
              <w:rPr>
                <w:sz w:val="16"/>
                <w:szCs w:val="18"/>
                <w:lang w:val="en-GB"/>
              </w:rPr>
              <w:t>2</w:t>
            </w:r>
          </w:p>
        </w:tc>
        <w:tc>
          <w:tcPr>
            <w:tcW w:w="854" w:type="dxa"/>
            <w:shd w:val="clear" w:color="auto" w:fill="92D050"/>
          </w:tcPr>
          <w:p w14:paraId="14FBCB1C" w14:textId="77777777" w:rsidR="000647E1" w:rsidRPr="00B254BE" w:rsidRDefault="000647E1" w:rsidP="000647E1">
            <w:pPr>
              <w:pStyle w:val="CETBodytext"/>
              <w:keepNext/>
              <w:keepLines/>
              <w:jc w:val="center"/>
              <w:rPr>
                <w:sz w:val="16"/>
                <w:szCs w:val="18"/>
              </w:rPr>
            </w:pPr>
            <w:r w:rsidRPr="00B254BE">
              <w:rPr>
                <w:sz w:val="16"/>
                <w:szCs w:val="18"/>
              </w:rPr>
              <w:t>3</w:t>
            </w:r>
          </w:p>
        </w:tc>
        <w:tc>
          <w:tcPr>
            <w:tcW w:w="854" w:type="dxa"/>
            <w:shd w:val="clear" w:color="auto" w:fill="92D050"/>
          </w:tcPr>
          <w:p w14:paraId="1AABB343" w14:textId="77777777" w:rsidR="000647E1" w:rsidRPr="00B254BE" w:rsidRDefault="000647E1" w:rsidP="000647E1">
            <w:pPr>
              <w:pStyle w:val="CETBodytext"/>
              <w:keepNext/>
              <w:keepLines/>
              <w:jc w:val="center"/>
              <w:rPr>
                <w:sz w:val="16"/>
                <w:szCs w:val="18"/>
              </w:rPr>
            </w:pPr>
            <w:r w:rsidRPr="00B254BE">
              <w:rPr>
                <w:sz w:val="16"/>
                <w:szCs w:val="18"/>
              </w:rPr>
              <w:t>4</w:t>
            </w:r>
          </w:p>
        </w:tc>
        <w:tc>
          <w:tcPr>
            <w:tcW w:w="854" w:type="dxa"/>
            <w:shd w:val="clear" w:color="auto" w:fill="92D050"/>
          </w:tcPr>
          <w:p w14:paraId="4808CCC2" w14:textId="77777777" w:rsidR="000647E1" w:rsidRPr="00B254BE" w:rsidRDefault="000647E1" w:rsidP="000647E1">
            <w:pPr>
              <w:pStyle w:val="CETBodytext"/>
              <w:keepNext/>
              <w:keepLines/>
              <w:jc w:val="center"/>
              <w:rPr>
                <w:sz w:val="16"/>
                <w:szCs w:val="18"/>
              </w:rPr>
            </w:pPr>
            <w:r w:rsidRPr="00B254BE">
              <w:rPr>
                <w:sz w:val="16"/>
                <w:szCs w:val="18"/>
              </w:rPr>
              <w:t>5</w:t>
            </w:r>
          </w:p>
        </w:tc>
      </w:tr>
    </w:tbl>
    <w:p w14:paraId="56313D6C" w14:textId="586F0736" w:rsidR="0036193C" w:rsidRDefault="0036193C" w:rsidP="0036193C">
      <w:pPr>
        <w:pStyle w:val="CETBodytext"/>
      </w:pPr>
      <w:r w:rsidRPr="000647E1">
        <w:t>For values ​​of I</w:t>
      </w:r>
      <w:r w:rsidRPr="00E66ACB">
        <w:rPr>
          <w:vertAlign w:val="subscript"/>
        </w:rPr>
        <w:t>R</w:t>
      </w:r>
      <w:r w:rsidRPr="000647E1">
        <w:t>&gt;16 the risk is high while for values ​​</w:t>
      </w:r>
      <w:r w:rsidR="00B85D82">
        <w:t>6</w:t>
      </w:r>
      <w:r w:rsidRPr="000647E1">
        <w:t>&lt;I</w:t>
      </w:r>
      <w:r w:rsidRPr="00E66ACB">
        <w:rPr>
          <w:vertAlign w:val="subscript"/>
        </w:rPr>
        <w:t>R</w:t>
      </w:r>
      <w:r w:rsidR="00B85D82">
        <w:rPr>
          <w:rFonts w:cs="Arial"/>
        </w:rPr>
        <w:t>≤</w:t>
      </w:r>
      <w:r w:rsidRPr="000647E1">
        <w:t>16 the risk is medium</w:t>
      </w:r>
      <w:r>
        <w:t xml:space="preserve">; </w:t>
      </w:r>
      <w:r w:rsidRPr="000647E1">
        <w:t xml:space="preserve">in these cases it is necessary to provide </w:t>
      </w:r>
      <w:r>
        <w:t>appropriate</w:t>
      </w:r>
      <w:r w:rsidRPr="000647E1">
        <w:t xml:space="preserve"> prevention and/or protection interventions, with a specific maintenance/inspection plan that is more stringent than that provided by the pipe manufacturer</w:t>
      </w:r>
      <w:r>
        <w:t xml:space="preserve">. </w:t>
      </w:r>
      <w:r w:rsidRPr="000647E1">
        <w:t>In this case</w:t>
      </w:r>
      <w:r>
        <w:t>,</w:t>
      </w:r>
      <w:r w:rsidRPr="000647E1">
        <w:t xml:space="preserve"> the employer must carry out a </w:t>
      </w:r>
      <w:r>
        <w:t>r</w:t>
      </w:r>
      <w:r w:rsidRPr="000647E1">
        <w:t xml:space="preserve">isk </w:t>
      </w:r>
      <w:r>
        <w:t>b</w:t>
      </w:r>
      <w:r w:rsidRPr="000647E1">
        <w:t xml:space="preserve">ased </w:t>
      </w:r>
      <w:r>
        <w:t>i</w:t>
      </w:r>
      <w:r w:rsidRPr="000647E1">
        <w:t xml:space="preserve">nspection </w:t>
      </w:r>
      <w:r>
        <w:t>a</w:t>
      </w:r>
      <w:r w:rsidRPr="000647E1">
        <w:t>nalysis, a methodology that provides the basis for making decisions supported by objective analy</w:t>
      </w:r>
      <w:r>
        <w:t>si</w:t>
      </w:r>
      <w:r w:rsidRPr="000647E1">
        <w:t>s on the most appropriate inspection frequencies, on the extent of inspections and non-destructive checks.</w:t>
      </w:r>
    </w:p>
    <w:p w14:paraId="3A0E2E8D" w14:textId="4D04172E" w:rsidR="0036193C" w:rsidRDefault="0036193C" w:rsidP="0036193C">
      <w:pPr>
        <w:pStyle w:val="CETBodytext"/>
      </w:pPr>
      <w:r w:rsidRPr="00E66ACB">
        <w:t>For values</w:t>
      </w:r>
      <w:r>
        <w:t xml:space="preserve"> of</w:t>
      </w:r>
      <w:r w:rsidRPr="00E66ACB">
        <w:t xml:space="preserve"> I</w:t>
      </w:r>
      <w:r w:rsidRPr="00E66ACB">
        <w:rPr>
          <w:vertAlign w:val="subscript"/>
        </w:rPr>
        <w:t>R</w:t>
      </w:r>
      <w:r>
        <w:t>​</w:t>
      </w:r>
      <w:r w:rsidR="00B85D82">
        <w:rPr>
          <w:rFonts w:cs="Arial"/>
        </w:rPr>
        <w:t>≤</w:t>
      </w:r>
      <w:r w:rsidRPr="00E66ACB">
        <w:t xml:space="preserve">6, the risk is </w:t>
      </w:r>
      <w:r w:rsidR="009D6996">
        <w:t>low (</w:t>
      </w:r>
      <w:r w:rsidRPr="00E66ACB">
        <w:t>acceptable</w:t>
      </w:r>
      <w:r w:rsidR="009D6996">
        <w:t>)</w:t>
      </w:r>
      <w:r w:rsidRPr="00E66ACB">
        <w:t xml:space="preserve"> and the safety level, if possible, can be improved over time. Finally, it should be noted that in most plants the majority of the risk is concentrated on a few items </w:t>
      </w:r>
      <w:r>
        <w:t xml:space="preserve">of </w:t>
      </w:r>
      <w:r w:rsidRPr="00E66ACB">
        <w:t>high and medium risk.</w:t>
      </w:r>
    </w:p>
    <w:p w14:paraId="677EBFF0" w14:textId="6152123C" w:rsidR="00600535" w:rsidRPr="00B57B36" w:rsidRDefault="006F0E4B" w:rsidP="00692515">
      <w:pPr>
        <w:pStyle w:val="CETHeading1"/>
        <w:tabs>
          <w:tab w:val="num" w:pos="360"/>
        </w:tabs>
        <w:rPr>
          <w:lang w:val="en-GB"/>
        </w:rPr>
      </w:pPr>
      <w:r w:rsidRPr="00692515">
        <w:t>Effects</w:t>
      </w:r>
      <w:r w:rsidRPr="006F0E4B">
        <w:rPr>
          <w:lang w:val="en-GB"/>
        </w:rPr>
        <w:t xml:space="preserve"> on the health of workers, population and environment due to </w:t>
      </w:r>
      <w:r w:rsidR="00AE4C34">
        <w:rPr>
          <w:lang w:val="en-GB"/>
        </w:rPr>
        <w:t>incidental events</w:t>
      </w:r>
    </w:p>
    <w:p w14:paraId="192D535E" w14:textId="4F051855" w:rsidR="00050B86" w:rsidRDefault="00AE4C34" w:rsidP="00AE4C34">
      <w:pPr>
        <w:pStyle w:val="CETBodytext"/>
      </w:pPr>
      <w:r w:rsidRPr="00AE4C34">
        <w:t xml:space="preserve">The existence of pressure equipment in an industrial plant is associated with at least three accident scenarios with </w:t>
      </w:r>
      <w:r w:rsidR="007D435E">
        <w:t>main</w:t>
      </w:r>
      <w:r w:rsidR="005E4424">
        <w:t xml:space="preserve"> effect on workers’</w:t>
      </w:r>
      <w:r w:rsidRPr="00AE4C34">
        <w:t xml:space="preserve"> health:</w:t>
      </w:r>
      <w:r>
        <w:t xml:space="preserve"> fire, explosion, toxic release.</w:t>
      </w:r>
    </w:p>
    <w:p w14:paraId="2BD48ABB" w14:textId="31E8037D" w:rsidR="00AE4C34" w:rsidRDefault="00AE4C34" w:rsidP="00AE4C34">
      <w:pPr>
        <w:pStyle w:val="CETBodytext"/>
      </w:pPr>
      <w:r w:rsidRPr="00AE4C34">
        <w:t xml:space="preserve">The effects caused by fires, explosions or toxic cloud in the event of an industrial accident </w:t>
      </w:r>
      <w:r w:rsidR="009D6996">
        <w:t>can be</w:t>
      </w:r>
      <w:r w:rsidRPr="00AE4C34">
        <w:t xml:space="preserve"> divided into:</w:t>
      </w:r>
    </w:p>
    <w:p w14:paraId="6DACACE6" w14:textId="2CE35C0A" w:rsidR="00050B86" w:rsidRPr="00AE4C34" w:rsidRDefault="00AE4C34" w:rsidP="00050B86">
      <w:pPr>
        <w:pStyle w:val="CETBodytext"/>
      </w:pPr>
      <w:r w:rsidRPr="00AE4C34">
        <w:rPr>
          <w:i/>
        </w:rPr>
        <w:t>a) Effects on the health of workers and population</w:t>
      </w:r>
      <w:r>
        <w:t xml:space="preserve">: 1) </w:t>
      </w:r>
      <w:r w:rsidRPr="00AE4C34">
        <w:t xml:space="preserve">in the event of a fire involving flammable substances, the effects </w:t>
      </w:r>
      <w:r>
        <w:t>of</w:t>
      </w:r>
      <w:r w:rsidRPr="00AE4C34">
        <w:t xml:space="preserve"> heat and combustion fumes can cause burns, intoxication and damage to the respiratory tract;</w:t>
      </w:r>
      <w:r w:rsidR="001B4496">
        <w:t xml:space="preserve"> 2) </w:t>
      </w:r>
      <w:r w:rsidR="001B4496" w:rsidRPr="001B4496">
        <w:t>in the event of an explosion, the effects due to the shock waves can show distant throwing of material</w:t>
      </w:r>
      <w:r w:rsidR="001B4496">
        <w:t>,</w:t>
      </w:r>
      <w:r w:rsidR="001B4496" w:rsidRPr="001B4496">
        <w:t xml:space="preserve"> </w:t>
      </w:r>
      <w:r w:rsidR="00CA784D">
        <w:t>causing</w:t>
      </w:r>
      <w:r w:rsidR="001B4496" w:rsidRPr="001B4496">
        <w:t xml:space="preserve"> trauma</w:t>
      </w:r>
      <w:r w:rsidR="00CA784D">
        <w:t xml:space="preserve">; 3) </w:t>
      </w:r>
      <w:r w:rsidR="00CA784D" w:rsidRPr="00AE4C34">
        <w:t>in the event of</w:t>
      </w:r>
      <w:r w:rsidR="00CA784D">
        <w:t xml:space="preserve"> toxic release </w:t>
      </w:r>
      <w:r w:rsidR="00CA784D" w:rsidRPr="00CA784D">
        <w:t>(substances released in the gaseous state), there may be cases of acute intoxication caused by inhalation, ingestion or contact with the toxic substance</w:t>
      </w:r>
      <w:r w:rsidR="00CA784D">
        <w:t>s</w:t>
      </w:r>
      <w:r w:rsidR="00CA784D" w:rsidRPr="00CA784D">
        <w:t>, causing malaise, watery eyes, nausea, difficulty breathing, loss of consciousness and, in more severe cases, lethal effects.</w:t>
      </w:r>
    </w:p>
    <w:p w14:paraId="1471D544" w14:textId="27336E5D" w:rsidR="00050B86" w:rsidRDefault="00DB3C8D" w:rsidP="00050B86">
      <w:pPr>
        <w:pStyle w:val="CETBodytext"/>
      </w:pPr>
      <w:r w:rsidRPr="00DB3C8D">
        <w:t>Obviously, the effects of the accident are much more serious on workers, especially those who are close to the site of the accident and in any case within the plant, than population, because, although they are trained for such eventualities, they may be unprepared due to the speed and proximity to the accident site or a delay in the implementation of appropriate prot</w:t>
      </w:r>
      <w:r>
        <w:t>ective measures (</w:t>
      </w:r>
      <w:r w:rsidR="00E055A1">
        <w:t>e.g.</w:t>
      </w:r>
      <w:r>
        <w:t>,</w:t>
      </w:r>
      <w:r w:rsidRPr="00DB3C8D">
        <w:t xml:space="preserve"> put</w:t>
      </w:r>
      <w:r>
        <w:t>ting on suitable masks</w:t>
      </w:r>
      <w:r w:rsidRPr="00DB3C8D">
        <w:t xml:space="preserve"> or </w:t>
      </w:r>
      <w:r>
        <w:t>leaving</w:t>
      </w:r>
      <w:r w:rsidRPr="00DB3C8D">
        <w:t xml:space="preserve"> the hazardous area and/or the establishment in an appropriate manner) and due to the shock of the accident itself.</w:t>
      </w:r>
      <w:r w:rsidR="00773EF5">
        <w:t xml:space="preserve"> </w:t>
      </w:r>
      <w:r w:rsidR="00773EF5" w:rsidRPr="00773EF5">
        <w:t>For this reason, in order to respon</w:t>
      </w:r>
      <w:r w:rsidR="00637267">
        <w:t>d promptly to accidental events</w:t>
      </w:r>
      <w:r w:rsidR="00773EF5" w:rsidRPr="00773EF5">
        <w:t xml:space="preserve"> in the initial phase, the employer is advised to provide constant information and training for plant workers over time.</w:t>
      </w:r>
    </w:p>
    <w:p w14:paraId="00B774CA" w14:textId="2CE77322" w:rsidR="00F10996" w:rsidRDefault="00F10996" w:rsidP="00050B86">
      <w:pPr>
        <w:pStyle w:val="CETBodytext"/>
      </w:pPr>
      <w:r w:rsidRPr="00F10996">
        <w:t>Referring to toxic releases, site-specific health risk analysis is an indispensable tool and the risk to be quantified is that arising from the potential exposure of a receptor subject to one or more pollutant sources through various absorption routes: by inhalation, by contact with skin and mucous membranes, by ingestion or even through more than one of these routes simultaneously.</w:t>
      </w:r>
    </w:p>
    <w:p w14:paraId="7B70AF26" w14:textId="13540492" w:rsidR="00E055A1" w:rsidRDefault="00B44B45" w:rsidP="00050B86">
      <w:pPr>
        <w:pStyle w:val="CETBodytext"/>
      </w:pPr>
      <w:r w:rsidRPr="00B44B45">
        <w:t xml:space="preserve">It is mentioned that the most used mathematical model for risk analysis, in this case "chemical" (in accordance with the requirements of Title IX "protection from chemical agents" of Legislative Decree 81/08), is a risk </w:t>
      </w:r>
      <w:r>
        <w:t xml:space="preserve">matrix </w:t>
      </w:r>
      <w:r w:rsidRPr="00B44B45">
        <w:t>involving two parameters: P (danger, represented by the intrinsic characteristics, i.e. the toxicological and chemical-physical properties of the chemical substances involved) and E (exposure, i.e. the way in which the worker and/or exposed subjects come into contact with substances: dermal contact, inhalation, ingestion) (D</w:t>
      </w:r>
      <w:r>
        <w:t>’</w:t>
      </w:r>
      <w:r w:rsidRPr="00B44B45">
        <w:t>orsi et al., 2015).</w:t>
      </w:r>
    </w:p>
    <w:p w14:paraId="7104B642" w14:textId="7577F85C" w:rsidR="00B44B45" w:rsidRPr="00050B86" w:rsidRDefault="00B44B45" w:rsidP="00050B86">
      <w:pPr>
        <w:pStyle w:val="CETBodytext"/>
      </w:pPr>
      <w:r w:rsidRPr="00B44B45">
        <w:rPr>
          <w:i/>
        </w:rPr>
        <w:t>b) Effects on environment</w:t>
      </w:r>
      <w:r>
        <w:t xml:space="preserve">: 1) </w:t>
      </w:r>
      <w:r w:rsidRPr="00B44B45">
        <w:t>in the case of toxic release there is a possible contamination of the soil, water, atmosphere and food by the released substances;</w:t>
      </w:r>
      <w:r>
        <w:t xml:space="preserve"> 2) </w:t>
      </w:r>
      <w:r w:rsidRPr="00B44B45">
        <w:t xml:space="preserve">damage to neighboring structures and in particular collapse of buildings or parts thereof, breaking of glass, damage to </w:t>
      </w:r>
      <w:r>
        <w:t>the plants</w:t>
      </w:r>
      <w:r w:rsidRPr="00B44B45">
        <w:t xml:space="preserve"> with further explosions, fires (possible domino effect).</w:t>
      </w:r>
    </w:p>
    <w:p w14:paraId="447A8C16" w14:textId="78B092C9" w:rsidR="00CC5AB2" w:rsidRPr="00B57B36" w:rsidRDefault="00CC5AB2" w:rsidP="00CC5AB2">
      <w:pPr>
        <w:pStyle w:val="CETHeading1"/>
        <w:rPr>
          <w:lang w:val="en-GB"/>
        </w:rPr>
      </w:pPr>
      <w:r w:rsidRPr="00CC5AB2">
        <w:rPr>
          <w:lang w:val="en-GB"/>
        </w:rPr>
        <w:t>Application example of the method for a pressure pipe in an industrial plant</w:t>
      </w:r>
    </w:p>
    <w:p w14:paraId="32622668" w14:textId="1494FDC2" w:rsidR="00B42A75" w:rsidRPr="00D02260" w:rsidRDefault="00DF2623" w:rsidP="00B42A75">
      <w:pPr>
        <w:pStyle w:val="CETBodytext"/>
        <w:rPr>
          <w:szCs w:val="18"/>
        </w:rPr>
      </w:pPr>
      <w:r w:rsidRPr="00D02260">
        <w:rPr>
          <w:szCs w:val="18"/>
        </w:rPr>
        <w:t>Authors report an application example for a pressure pipe installed in an industrial plant, working full time (40 hours per week), not falling within the Seveso III directive</w:t>
      </w:r>
      <w:r w:rsidR="002762E2" w:rsidRPr="00D02260">
        <w:rPr>
          <w:szCs w:val="18"/>
        </w:rPr>
        <w:t xml:space="preserve"> (Figure 2)</w:t>
      </w:r>
      <w:r w:rsidRPr="00D02260">
        <w:rPr>
          <w:szCs w:val="18"/>
        </w:rPr>
        <w:t>.</w:t>
      </w:r>
      <w:r w:rsidR="002762E2" w:rsidRPr="00D02260">
        <w:rPr>
          <w:szCs w:val="18"/>
        </w:rPr>
        <w:t xml:space="preserve"> The 8" pressure pipe (DN=200 mm) fulfills the technological function of the input line to the PSV 01 by connecting the shell side of a heat exchanger and the safety valve placed to protect it (PSV 01). The discharge of the PSV 01 goes into blowdown (Figure 2).</w:t>
      </w:r>
    </w:p>
    <w:p w14:paraId="389C10A7" w14:textId="49C778DA" w:rsidR="009D1DD4" w:rsidRPr="00D02260" w:rsidRDefault="002762E2" w:rsidP="00B42A75">
      <w:pPr>
        <w:pStyle w:val="CETBodytext"/>
        <w:rPr>
          <w:szCs w:val="18"/>
        </w:rPr>
      </w:pPr>
      <w:r w:rsidRPr="00D02260">
        <w:rPr>
          <w:szCs w:val="18"/>
        </w:rPr>
        <w:t xml:space="preserve">The 8" pipe (DN 200) has pressure Ps= 24 bar, min/max temperature Ts= -5/230°C, with dangerous fluid in the vapor state (group 1). The PED risk category is III, </w:t>
      </w:r>
      <w:r w:rsidR="00FD667C">
        <w:rPr>
          <w:szCs w:val="18"/>
        </w:rPr>
        <w:t>and pipe is</w:t>
      </w:r>
      <w:r w:rsidRPr="00D02260">
        <w:rPr>
          <w:szCs w:val="18"/>
        </w:rPr>
        <w:t xml:space="preserve"> certified to the PED directive 2014/68/EU.</w:t>
      </w:r>
      <w:r w:rsidR="009D1DD4" w:rsidRPr="00D02260">
        <w:rPr>
          <w:szCs w:val="18"/>
        </w:rPr>
        <w:t xml:space="preserve"> </w:t>
      </w:r>
      <w:r w:rsidR="00131A49" w:rsidRPr="00D02260">
        <w:rPr>
          <w:szCs w:val="18"/>
        </w:rPr>
        <w:lastRenderedPageBreak/>
        <w:t>In reference to paragraph 4.1, the severity index of damage I</w:t>
      </w:r>
      <w:r w:rsidR="00131A49" w:rsidRPr="00D02260">
        <w:rPr>
          <w:szCs w:val="18"/>
          <w:vertAlign w:val="subscript"/>
        </w:rPr>
        <w:t>D</w:t>
      </w:r>
      <w:r w:rsidR="00131A49" w:rsidRPr="00D02260">
        <w:rPr>
          <w:szCs w:val="18"/>
        </w:rPr>
        <w:t xml:space="preserve"> is equal to 4 (Table 1).</w:t>
      </w:r>
      <w:r w:rsidR="009D1DD4" w:rsidRPr="00D02260">
        <w:rPr>
          <w:szCs w:val="18"/>
        </w:rPr>
        <w:t xml:space="preserve"> The probability index of damage I</w:t>
      </w:r>
      <w:r w:rsidR="009D1DD4" w:rsidRPr="00D02260">
        <w:rPr>
          <w:szCs w:val="18"/>
          <w:vertAlign w:val="subscript"/>
        </w:rPr>
        <w:t>P</w:t>
      </w:r>
      <w:r w:rsidR="009D1DD4" w:rsidRPr="00D02260">
        <w:rPr>
          <w:szCs w:val="18"/>
        </w:rPr>
        <w:t xml:space="preserve"> , since the plant works full time, is equal to 4 (Table 2). </w:t>
      </w:r>
    </w:p>
    <w:p w14:paraId="1A037505" w14:textId="331E4857" w:rsidR="009D1DD4" w:rsidRPr="00D02260" w:rsidRDefault="009D1DD4" w:rsidP="00B42A75">
      <w:pPr>
        <w:pStyle w:val="CETBodytext"/>
        <w:rPr>
          <w:szCs w:val="18"/>
        </w:rPr>
      </w:pPr>
      <w:r w:rsidRPr="00D02260">
        <w:rPr>
          <w:szCs w:val="18"/>
        </w:rPr>
        <w:t>With I</w:t>
      </w:r>
      <w:r w:rsidRPr="00D02260">
        <w:rPr>
          <w:szCs w:val="18"/>
          <w:vertAlign w:val="subscript"/>
        </w:rPr>
        <w:t>D</w:t>
      </w:r>
      <w:r w:rsidRPr="00D02260">
        <w:rPr>
          <w:szCs w:val="18"/>
        </w:rPr>
        <w:t>=4 and I</w:t>
      </w:r>
      <w:r w:rsidRPr="00D02260">
        <w:rPr>
          <w:szCs w:val="18"/>
          <w:vertAlign w:val="subscript"/>
        </w:rPr>
        <w:t>P</w:t>
      </w:r>
      <w:r w:rsidRPr="00D02260">
        <w:rPr>
          <w:szCs w:val="18"/>
        </w:rPr>
        <w:t>=4, the risk index of the pipeline during operation is IR=16 (Eq. 2, Table 3), classified as medium risk.</w:t>
      </w:r>
    </w:p>
    <w:p w14:paraId="7D0415AD" w14:textId="2F4DD744" w:rsidR="009D1DD4" w:rsidRPr="00D02260" w:rsidRDefault="009D1DD4" w:rsidP="00B42A75">
      <w:pPr>
        <w:pStyle w:val="CETBodytext"/>
        <w:rPr>
          <w:szCs w:val="18"/>
        </w:rPr>
      </w:pPr>
      <w:r w:rsidRPr="00D02260">
        <w:rPr>
          <w:szCs w:val="18"/>
        </w:rPr>
        <w:t>Thus, it is necessary to study a specific maintenance/inspection plan which is more stringent than that provid</w:t>
      </w:r>
      <w:r w:rsidR="00DE0D88">
        <w:rPr>
          <w:szCs w:val="18"/>
        </w:rPr>
        <w:t>ed for in the pipe manufacturer’</w:t>
      </w:r>
      <w:r w:rsidRPr="00D02260">
        <w:rPr>
          <w:szCs w:val="18"/>
        </w:rPr>
        <w:t>s instructions for use.</w:t>
      </w:r>
    </w:p>
    <w:p w14:paraId="663D0561" w14:textId="0D975066" w:rsidR="00705B2A" w:rsidRDefault="00DF2623" w:rsidP="002762E2">
      <w:pPr>
        <w:pStyle w:val="CETBodytext"/>
        <w:keepNext/>
        <w:keepLines/>
        <w:rPr>
          <w:sz w:val="16"/>
        </w:rPr>
      </w:pPr>
      <w:r>
        <w:rPr>
          <w:rFonts w:ascii="Times New Roman" w:hAnsi="Times New Roman"/>
          <w:noProof/>
          <w:sz w:val="24"/>
          <w:szCs w:val="24"/>
          <w:lang w:val="it-IT" w:eastAsia="it-IT"/>
        </w:rPr>
        <w:drawing>
          <wp:inline distT="0" distB="0" distL="0" distR="0" wp14:anchorId="00F420EA" wp14:editId="16C72F75">
            <wp:extent cx="2182742" cy="1851212"/>
            <wp:effectExtent l="0" t="0" r="8255" b="0"/>
            <wp:docPr id="2" name="Immagine 2" descr="C:\Users\Pc-Gio\Desktop\CISAP 11_Napoli 2024\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Gio\Desktop\CISAP 11_Napoli 2024\Figura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1528" cy="1858664"/>
                    </a:xfrm>
                    <a:prstGeom prst="rect">
                      <a:avLst/>
                    </a:prstGeom>
                    <a:noFill/>
                    <a:ln>
                      <a:noFill/>
                    </a:ln>
                  </pic:spPr>
                </pic:pic>
              </a:graphicData>
            </a:graphic>
          </wp:inline>
        </w:drawing>
      </w:r>
    </w:p>
    <w:p w14:paraId="6EFB4DEA" w14:textId="4710664C" w:rsidR="00DF2623" w:rsidRDefault="00DF2623" w:rsidP="002762E2">
      <w:pPr>
        <w:pStyle w:val="CETBodytext"/>
        <w:keepNext/>
        <w:keepLines/>
        <w:rPr>
          <w:rStyle w:val="CETCaptionCarattere"/>
        </w:rPr>
      </w:pPr>
      <w:r w:rsidRPr="00DF2623">
        <w:rPr>
          <w:rStyle w:val="CETCaptionCarattere"/>
        </w:rPr>
        <w:t>Figure</w:t>
      </w:r>
      <w:r>
        <w:rPr>
          <w:sz w:val="16"/>
        </w:rPr>
        <w:t xml:space="preserve"> 2</w:t>
      </w:r>
      <w:r w:rsidRPr="00DF2623">
        <w:rPr>
          <w:rStyle w:val="CETCaptionCarattere"/>
        </w:rPr>
        <w:t xml:space="preserve">: </w:t>
      </w:r>
      <w:r>
        <w:rPr>
          <w:rStyle w:val="CETCaptionCarattere"/>
        </w:rPr>
        <w:t>System</w:t>
      </w:r>
      <w:r w:rsidRPr="00DF2623">
        <w:rPr>
          <w:rStyle w:val="CETCaptionCarattere"/>
        </w:rPr>
        <w:t xml:space="preserve"> diagram with a pressure pipe of 8" (DN=200 mm)</w:t>
      </w:r>
    </w:p>
    <w:p w14:paraId="68D26B83" w14:textId="77777777" w:rsidR="00600535" w:rsidRPr="00B57B36" w:rsidRDefault="00600535" w:rsidP="00600535">
      <w:pPr>
        <w:pStyle w:val="CETHeading1"/>
        <w:rPr>
          <w:lang w:val="en-GB"/>
        </w:rPr>
      </w:pPr>
      <w:r w:rsidRPr="00B57B36">
        <w:rPr>
          <w:lang w:val="en-GB"/>
        </w:rPr>
        <w:t>Conclusions</w:t>
      </w:r>
    </w:p>
    <w:p w14:paraId="52DAFDE0" w14:textId="3DFC23EA" w:rsidR="001D0CFB" w:rsidRDefault="00121183" w:rsidP="00600535">
      <w:pPr>
        <w:pStyle w:val="CETBodytext"/>
        <w:rPr>
          <w:lang w:val="en-GB"/>
        </w:rPr>
      </w:pPr>
      <w:r w:rsidRPr="00121183">
        <w:rPr>
          <w:lang w:val="en-GB"/>
        </w:rPr>
        <w:t xml:space="preserve">The purpose of </w:t>
      </w:r>
      <w:r>
        <w:rPr>
          <w:lang w:val="en-GB"/>
        </w:rPr>
        <w:t>this</w:t>
      </w:r>
      <w:r w:rsidRPr="00121183">
        <w:rPr>
          <w:lang w:val="en-GB"/>
        </w:rPr>
        <w:t xml:space="preserve"> article is to introduce a risk assessment method for pressure pipes during operating phase</w:t>
      </w:r>
      <w:r>
        <w:rPr>
          <w:lang w:val="en-GB"/>
        </w:rPr>
        <w:t>, referred</w:t>
      </w:r>
      <w:r w:rsidRPr="00121183">
        <w:rPr>
          <w:lang w:val="en-GB"/>
        </w:rPr>
        <w:t xml:space="preserve"> to a specific </w:t>
      </w:r>
      <w:r w:rsidRPr="007042EE">
        <w:rPr>
          <w:lang w:val="en-GB"/>
        </w:rPr>
        <w:t>company/plant context</w:t>
      </w:r>
      <w:r w:rsidR="001D0CFB" w:rsidRPr="007042EE">
        <w:rPr>
          <w:lang w:val="en-GB"/>
        </w:rPr>
        <w:t>.</w:t>
      </w:r>
      <w:r w:rsidRPr="007042EE">
        <w:rPr>
          <w:lang w:val="en-GB"/>
        </w:rPr>
        <w:t xml:space="preserve"> Using the proposed index method, it is possible to deduce if the risk, for a specific pressure pipe, is low, medium or high. If the risk is high or medium, the employer must put in place appropriate and specific prevention and/or protection measures in order to protect the safety and health of workers and citizens.</w:t>
      </w:r>
      <w:r w:rsidR="004B3092" w:rsidRPr="007042EE">
        <w:t xml:space="preserve"> </w:t>
      </w:r>
      <w:r w:rsidR="004B3092" w:rsidRPr="007042EE">
        <w:rPr>
          <w:lang w:val="en-GB"/>
        </w:rPr>
        <w:t xml:space="preserve">In </w:t>
      </w:r>
      <w:r w:rsidR="004A0192" w:rsidRPr="007042EE">
        <w:rPr>
          <w:lang w:val="en-GB"/>
        </w:rPr>
        <w:t>such</w:t>
      </w:r>
      <w:r w:rsidR="004B3092" w:rsidRPr="007042EE">
        <w:rPr>
          <w:lang w:val="en-GB"/>
        </w:rPr>
        <w:t xml:space="preserve"> case</w:t>
      </w:r>
      <w:r w:rsidR="004A0192" w:rsidRPr="007042EE">
        <w:rPr>
          <w:lang w:val="en-GB"/>
        </w:rPr>
        <w:t>s</w:t>
      </w:r>
      <w:r w:rsidR="004B3092" w:rsidRPr="007042EE">
        <w:rPr>
          <w:lang w:val="en-GB"/>
        </w:rPr>
        <w:t>, the employer must carry out a risk</w:t>
      </w:r>
      <w:r w:rsidR="002F7E41">
        <w:rPr>
          <w:lang w:val="en-GB"/>
        </w:rPr>
        <w:t xml:space="preserve"> based inspection analysis</w:t>
      </w:r>
      <w:bookmarkStart w:id="1" w:name="_GoBack"/>
      <w:bookmarkEnd w:id="1"/>
      <w:r w:rsidR="004B3092" w:rsidRPr="007042EE">
        <w:rPr>
          <w:lang w:val="en-GB"/>
        </w:rPr>
        <w:t xml:space="preserve">, </w:t>
      </w:r>
      <w:r w:rsidR="004A0192" w:rsidRPr="007042EE">
        <w:rPr>
          <w:lang w:val="en-GB"/>
        </w:rPr>
        <w:t xml:space="preserve">a </w:t>
      </w:r>
      <w:r w:rsidR="004B3092" w:rsidRPr="007042EE">
        <w:rPr>
          <w:lang w:val="en-GB"/>
        </w:rPr>
        <w:t xml:space="preserve">methodology that provides the basis for making decisions supported by objective analysis </w:t>
      </w:r>
      <w:r w:rsidR="004A0192" w:rsidRPr="007042EE">
        <w:rPr>
          <w:lang w:val="en-GB"/>
        </w:rPr>
        <w:t>regarding</w:t>
      </w:r>
      <w:r w:rsidR="004B3092" w:rsidRPr="007042EE">
        <w:rPr>
          <w:lang w:val="en-GB"/>
        </w:rPr>
        <w:t xml:space="preserve"> the most appropriate inspection frequencies, the extent of inspections and non-destructive checks.</w:t>
      </w:r>
    </w:p>
    <w:p w14:paraId="4F1327F8" w14:textId="77777777" w:rsidR="00600535" w:rsidRPr="00B57B36" w:rsidRDefault="00600535" w:rsidP="00600535">
      <w:pPr>
        <w:pStyle w:val="CETReference"/>
      </w:pPr>
      <w:r w:rsidRPr="00B57B36">
        <w:t>References</w:t>
      </w:r>
    </w:p>
    <w:p w14:paraId="2DB54574" w14:textId="574C7D2F" w:rsidR="00665F3C" w:rsidRPr="00A81A45" w:rsidRDefault="00665F3C" w:rsidP="00665F3C">
      <w:pPr>
        <w:pStyle w:val="CETReferencetext"/>
        <w:rPr>
          <w:color w:val="FF0000"/>
        </w:rPr>
      </w:pPr>
      <w:r w:rsidRPr="00A81A45">
        <w:t>Decree of the M</w:t>
      </w:r>
      <w:r w:rsidR="00866C5E">
        <w:t>inistry of Product Activities, No</w:t>
      </w:r>
      <w:r w:rsidRPr="00A81A45">
        <w:t>. 329, issued on December 1, 2004. Regulation providing norms to put into service and using pressure equipment and the assemblies defined by t</w:t>
      </w:r>
      <w:r w:rsidR="00850891">
        <w:t>he Article 19 of the Legislative</w:t>
      </w:r>
      <w:r w:rsidRPr="00A81A45">
        <w:t xml:space="preserve"> Decree n. 93 </w:t>
      </w:r>
      <w:r w:rsidR="00FD667C" w:rsidRPr="00A81A45">
        <w:t>of 25</w:t>
      </w:r>
      <w:r w:rsidRPr="00A81A45">
        <w:t xml:space="preserve"> February 2000. Official J</w:t>
      </w:r>
      <w:r w:rsidR="00850891">
        <w:t>ournal of the Italian Republic,</w:t>
      </w:r>
      <w:r w:rsidRPr="00A81A45">
        <w:t>Gen</w:t>
      </w:r>
      <w:r w:rsidR="00850891">
        <w:t>.Series no.22</w:t>
      </w:r>
      <w:r w:rsidRPr="00A81A45">
        <w:t>.</w:t>
      </w:r>
    </w:p>
    <w:p w14:paraId="78C9AB76" w14:textId="65D8E321" w:rsidR="00AD2A74" w:rsidRPr="00A81A45" w:rsidRDefault="00AD2A74" w:rsidP="00AD2A74">
      <w:pPr>
        <w:pStyle w:val="CETReferencetext"/>
        <w:rPr>
          <w:color w:val="FF0000"/>
        </w:rPr>
      </w:pPr>
      <w:r w:rsidRPr="00A81A45">
        <w:t>Decree of the Ministry of Labor and Social Policies issued on April 11, 2011. Regulation of the methods for carrying out the periodic checks referred to in Annex VII of the legislative decree of 9 April 2008, n. 81, as well as the criteria for the qualification of the subjects referred to in article 71, paragraph 13, of the same legislative decree. Official Journal of the Italian Republic, Gene</w:t>
      </w:r>
      <w:r w:rsidR="00E51D5F" w:rsidRPr="00A81A45">
        <w:t>ral Series n.</w:t>
      </w:r>
      <w:r w:rsidR="00850891">
        <w:t xml:space="preserve"> </w:t>
      </w:r>
      <w:r w:rsidR="00E51D5F" w:rsidRPr="00A81A45">
        <w:t>98 (</w:t>
      </w:r>
      <w:r w:rsidRPr="00A81A45">
        <w:t>April</w:t>
      </w:r>
      <w:r w:rsidR="00E51D5F" w:rsidRPr="00A81A45">
        <w:t xml:space="preserve"> 29,</w:t>
      </w:r>
      <w:r w:rsidR="00850891">
        <w:t xml:space="preserve"> 2011)</w:t>
      </w:r>
      <w:r w:rsidRPr="00A81A45">
        <w:t>.</w:t>
      </w:r>
    </w:p>
    <w:p w14:paraId="6BC3D1AA" w14:textId="77777777" w:rsidR="00AD2A74" w:rsidRPr="00A81A45" w:rsidRDefault="00AD2A74" w:rsidP="00AD2A74">
      <w:pPr>
        <w:pStyle w:val="CETReferencetext"/>
        <w:rPr>
          <w:lang w:val="en-US"/>
        </w:rPr>
      </w:pPr>
      <w:r w:rsidRPr="00A81A45">
        <w:rPr>
          <w:lang w:val="en-US"/>
        </w:rPr>
        <w:t xml:space="preserve">European Communities, </w:t>
      </w:r>
      <w:r w:rsidRPr="00A81A45">
        <w:t xml:space="preserve">1997. </w:t>
      </w:r>
      <w:r w:rsidRPr="00A81A45">
        <w:rPr>
          <w:lang w:val="en-US"/>
        </w:rPr>
        <w:t>Directive 97/23/EC of the European Parliament and of the Council of 29 May 1997 on the approximation of the laws of the Member States concerning pressure equipment</w:t>
      </w:r>
      <w:r w:rsidRPr="00A81A45">
        <w:t xml:space="preserve">, </w:t>
      </w:r>
      <w:r w:rsidRPr="00A81A45">
        <w:rPr>
          <w:lang w:val="en-US"/>
        </w:rPr>
        <w:t>Official Journal of the European Communities</w:t>
      </w:r>
      <w:r w:rsidRPr="00A81A45">
        <w:t>, L181, Vol. 40, p.1-55.</w:t>
      </w:r>
    </w:p>
    <w:p w14:paraId="524F5414" w14:textId="77777777" w:rsidR="00AD2A74" w:rsidRPr="00A81A45" w:rsidRDefault="00AD2A74" w:rsidP="00AD2A74">
      <w:pPr>
        <w:pStyle w:val="CETReferencetext"/>
      </w:pPr>
      <w:r w:rsidRPr="00A81A45">
        <w:rPr>
          <w:lang w:val="en-US"/>
        </w:rPr>
        <w:t xml:space="preserve">European Union, 2012. </w:t>
      </w:r>
      <w:r w:rsidRPr="00A81A45">
        <w:t xml:space="preserve">Directive 2012/18/EU of the European Parliament and of the Council </w:t>
      </w:r>
      <w:r w:rsidRPr="00A81A45">
        <w:rPr>
          <w:lang w:val="en-US"/>
        </w:rPr>
        <w:t>of 4 July 2012</w:t>
      </w:r>
      <w:r w:rsidRPr="00A81A45">
        <w:t xml:space="preserve"> on the control of major-accident hazards involving dangerous substances, amending and subsequently repealing Council Directive 96/82/EC (SEVESO III), </w:t>
      </w:r>
      <w:r w:rsidRPr="00A81A45">
        <w:rPr>
          <w:lang w:val="en-US"/>
        </w:rPr>
        <w:t>Official Journal of the European Union, L197, p.1-37.</w:t>
      </w:r>
    </w:p>
    <w:p w14:paraId="48595DB4" w14:textId="30E601F5" w:rsidR="00AD2A74" w:rsidRPr="00A81A45" w:rsidRDefault="00AD2A74" w:rsidP="00AD2A74">
      <w:pPr>
        <w:pStyle w:val="CETReferencetext"/>
        <w:rPr>
          <w:lang w:val="en-US"/>
        </w:rPr>
      </w:pPr>
      <w:r w:rsidRPr="00A81A45">
        <w:t>European</w:t>
      </w:r>
      <w:r w:rsidRPr="00A81A45">
        <w:rPr>
          <w:lang w:val="en-US"/>
        </w:rPr>
        <w:t xml:space="preserve"> Union, 2014, Directive 2014/68/EU of the European Parliament and of the Council of 15 May 2014 on the harmonization of the laws of the Member States relating to the making available on the market of pressure equipment (recast), Official Journal of the European Union, N</w:t>
      </w:r>
      <w:r w:rsidR="00850891">
        <w:rPr>
          <w:lang w:val="en-US"/>
        </w:rPr>
        <w:t>o</w:t>
      </w:r>
      <w:r w:rsidRPr="00A81A45">
        <w:rPr>
          <w:lang w:val="en-US"/>
        </w:rPr>
        <w:t>. 189, 27.6.2014, p. 164–259.</w:t>
      </w:r>
    </w:p>
    <w:p w14:paraId="276CA573" w14:textId="6ABEB300" w:rsidR="00AD2A74" w:rsidRPr="00A81A45" w:rsidRDefault="00B44B45" w:rsidP="00AD2A74">
      <w:pPr>
        <w:pStyle w:val="CETReferencetext"/>
      </w:pPr>
      <w:r w:rsidRPr="00A81A45">
        <w:t>Legislative Decree</w:t>
      </w:r>
      <w:r w:rsidR="00AD2A74" w:rsidRPr="00A81A45">
        <w:t xml:space="preserve"> 81/08: Le</w:t>
      </w:r>
      <w:r w:rsidR="00866C5E">
        <w:t>gislative Decree 9 April 2008, No</w:t>
      </w:r>
      <w:r w:rsidR="00AD2A74" w:rsidRPr="00A81A45">
        <w:t xml:space="preserve">. 81, as modified by Legislative Decree 3 August 2009, n. 109. “Implementation of Article 1 of Law 3 August 2007, no. 123, concerning the protection of health and safety in the workplace”, Official Journal of the Italian Republic, General Series n. 101, April </w:t>
      </w:r>
      <w:r w:rsidR="00E51D5F" w:rsidRPr="00A81A45">
        <w:t xml:space="preserve">30, </w:t>
      </w:r>
      <w:r w:rsidR="00AD2A74" w:rsidRPr="00A81A45">
        <w:t>2008 - Ordinary Supplement n. 108; Supplementary Decree: Official Journal of the Italian R</w:t>
      </w:r>
      <w:r w:rsidR="00850891">
        <w:t>epublic, General Series n. 180 (</w:t>
      </w:r>
      <w:r w:rsidR="00AD2A74" w:rsidRPr="00A81A45">
        <w:t xml:space="preserve">August </w:t>
      </w:r>
      <w:r w:rsidR="00850891" w:rsidRPr="00A81A45">
        <w:t>5</w:t>
      </w:r>
      <w:r w:rsidR="00850891">
        <w:t xml:space="preserve">, </w:t>
      </w:r>
      <w:r w:rsidR="00AD2A74" w:rsidRPr="00A81A45">
        <w:t>2009</w:t>
      </w:r>
      <w:r w:rsidR="00850891">
        <w:t>),</w:t>
      </w:r>
      <w:r w:rsidR="00AD2A74" w:rsidRPr="00A81A45">
        <w:t xml:space="preserve"> Ordinary Supplement n. 142/L.</w:t>
      </w:r>
    </w:p>
    <w:p w14:paraId="0E13E534" w14:textId="77777777" w:rsidR="00AD2A74" w:rsidRPr="00A81A45" w:rsidRDefault="00AD2A74" w:rsidP="00AD2A74">
      <w:pPr>
        <w:pStyle w:val="CETReferencetext"/>
        <w:rPr>
          <w:lang w:val="it-IT"/>
        </w:rPr>
      </w:pPr>
      <w:r w:rsidRPr="00A81A45">
        <w:t xml:space="preserve">Muratore A., Giannelli G., Nastasi V., Sferruzza G., Grillone G., 2021, Risk assessment of pressure equipment during use phase, Proceedings of the 31th European Safety and Reliability Conference, Angers, France, 19-23 September 2021, ESREL2021 Organizers, Publisher: Research Publishing, Singapore. </w:t>
      </w:r>
      <w:r w:rsidRPr="00A81A45">
        <w:rPr>
          <w:lang w:val="it-IT"/>
        </w:rPr>
        <w:t xml:space="preserve">ISBN: 978-981-18-2016-8, pp.2420-2425, doi: 10.3850/978-981-18-2016-8_305-cd. </w:t>
      </w:r>
    </w:p>
    <w:p w14:paraId="19C4FC68" w14:textId="6BCD6086" w:rsidR="004628D2" w:rsidRDefault="00AD2A74" w:rsidP="00A81A45">
      <w:pPr>
        <w:pStyle w:val="CETReferencetext"/>
      </w:pPr>
      <w:r w:rsidRPr="00A81A45">
        <w:rPr>
          <w:lang w:val="it-IT"/>
        </w:rPr>
        <w:t xml:space="preserve">Orsi F., Guerriero G., Pietrantonio E., 2015. La Valutazione del Rischio Chimico (“Chemical Risk Assessment”, in Italian language). </w:t>
      </w:r>
      <w:r w:rsidRPr="00A81A45">
        <w:t>EPC Editore, ISBN 978-88-6310-673-2, 656 pp..</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7D257" w14:textId="77777777" w:rsidR="00620945" w:rsidRDefault="00620945" w:rsidP="004F5E36">
      <w:r>
        <w:separator/>
      </w:r>
    </w:p>
  </w:endnote>
  <w:endnote w:type="continuationSeparator" w:id="0">
    <w:p w14:paraId="6DCEFDD0" w14:textId="77777777" w:rsidR="00620945" w:rsidRDefault="0062094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00C0" w14:textId="77777777" w:rsidR="00620945" w:rsidRDefault="00620945" w:rsidP="004F5E36">
      <w:r>
        <w:separator/>
      </w:r>
    </w:p>
  </w:footnote>
  <w:footnote w:type="continuationSeparator" w:id="0">
    <w:p w14:paraId="631F9F3A" w14:textId="77777777" w:rsidR="00620945" w:rsidRDefault="0062094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120647C"/>
    <w:multiLevelType w:val="hybridMultilevel"/>
    <w:tmpl w:val="845C40D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0F45E3"/>
    <w:multiLevelType w:val="hybridMultilevel"/>
    <w:tmpl w:val="C6F68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875710"/>
    <w:multiLevelType w:val="hybridMultilevel"/>
    <w:tmpl w:val="74D0E8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50349B7"/>
    <w:multiLevelType w:val="hybridMultilevel"/>
    <w:tmpl w:val="7130AB8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6"/>
  </w:num>
  <w:num w:numId="21">
    <w:abstractNumId w:val="15"/>
  </w:num>
  <w:num w:numId="22">
    <w:abstractNumId w:val="14"/>
  </w:num>
  <w:num w:numId="23">
    <w:abstractNumId w:val="19"/>
  </w:num>
  <w:num w:numId="24">
    <w:abstractNumId w:val="10"/>
  </w:num>
  <w:num w:numId="25">
    <w:abstractNumId w:val="10"/>
  </w:num>
  <w:num w:numId="26">
    <w:abstractNumId w:val="17"/>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B92"/>
    <w:rsid w:val="000052FB"/>
    <w:rsid w:val="0000763A"/>
    <w:rsid w:val="000116AE"/>
    <w:rsid w:val="000117CB"/>
    <w:rsid w:val="00021151"/>
    <w:rsid w:val="0003148D"/>
    <w:rsid w:val="00031E6B"/>
    <w:rsid w:val="00031EEC"/>
    <w:rsid w:val="0003688D"/>
    <w:rsid w:val="00041BF6"/>
    <w:rsid w:val="00050B86"/>
    <w:rsid w:val="00051566"/>
    <w:rsid w:val="00062A9A"/>
    <w:rsid w:val="000647E1"/>
    <w:rsid w:val="00065058"/>
    <w:rsid w:val="00086C39"/>
    <w:rsid w:val="00095F10"/>
    <w:rsid w:val="000A03B2"/>
    <w:rsid w:val="000B7775"/>
    <w:rsid w:val="000D0268"/>
    <w:rsid w:val="000D34BE"/>
    <w:rsid w:val="000D4035"/>
    <w:rsid w:val="000E102F"/>
    <w:rsid w:val="000E36F1"/>
    <w:rsid w:val="000E3A73"/>
    <w:rsid w:val="000E414A"/>
    <w:rsid w:val="000F093C"/>
    <w:rsid w:val="000F1F46"/>
    <w:rsid w:val="000F6D92"/>
    <w:rsid w:val="000F787B"/>
    <w:rsid w:val="0010581A"/>
    <w:rsid w:val="00106B28"/>
    <w:rsid w:val="0012091F"/>
    <w:rsid w:val="00121183"/>
    <w:rsid w:val="00126BC2"/>
    <w:rsid w:val="001308B6"/>
    <w:rsid w:val="0013121F"/>
    <w:rsid w:val="00131A49"/>
    <w:rsid w:val="00131FE6"/>
    <w:rsid w:val="0013263F"/>
    <w:rsid w:val="001331DF"/>
    <w:rsid w:val="00133749"/>
    <w:rsid w:val="00134DE4"/>
    <w:rsid w:val="0014034D"/>
    <w:rsid w:val="00144D16"/>
    <w:rsid w:val="00150E59"/>
    <w:rsid w:val="00152DE3"/>
    <w:rsid w:val="00164CF9"/>
    <w:rsid w:val="001667A6"/>
    <w:rsid w:val="00171E2D"/>
    <w:rsid w:val="00184AD6"/>
    <w:rsid w:val="001A4AF7"/>
    <w:rsid w:val="001A5F82"/>
    <w:rsid w:val="001B033D"/>
    <w:rsid w:val="001B0349"/>
    <w:rsid w:val="001B1E93"/>
    <w:rsid w:val="001B272A"/>
    <w:rsid w:val="001B2D98"/>
    <w:rsid w:val="001B4496"/>
    <w:rsid w:val="001B65C1"/>
    <w:rsid w:val="001C684B"/>
    <w:rsid w:val="001C7E9D"/>
    <w:rsid w:val="001D028B"/>
    <w:rsid w:val="001D0CFB"/>
    <w:rsid w:val="001D53FC"/>
    <w:rsid w:val="001F42A5"/>
    <w:rsid w:val="001F47D3"/>
    <w:rsid w:val="001F73C6"/>
    <w:rsid w:val="001F7B9D"/>
    <w:rsid w:val="001F7F1C"/>
    <w:rsid w:val="00201C93"/>
    <w:rsid w:val="002163B2"/>
    <w:rsid w:val="002224B4"/>
    <w:rsid w:val="002447EF"/>
    <w:rsid w:val="00251550"/>
    <w:rsid w:val="00263B05"/>
    <w:rsid w:val="0027221A"/>
    <w:rsid w:val="00275B61"/>
    <w:rsid w:val="002762E2"/>
    <w:rsid w:val="00280FAF"/>
    <w:rsid w:val="00282656"/>
    <w:rsid w:val="00296B83"/>
    <w:rsid w:val="002B4015"/>
    <w:rsid w:val="002B78CE"/>
    <w:rsid w:val="002C2FB6"/>
    <w:rsid w:val="002C5F90"/>
    <w:rsid w:val="002E5FA7"/>
    <w:rsid w:val="002F3309"/>
    <w:rsid w:val="002F6032"/>
    <w:rsid w:val="002F6F4A"/>
    <w:rsid w:val="002F7E41"/>
    <w:rsid w:val="003008CE"/>
    <w:rsid w:val="003009B7"/>
    <w:rsid w:val="00300E56"/>
    <w:rsid w:val="0030145E"/>
    <w:rsid w:val="0030469C"/>
    <w:rsid w:val="00305F86"/>
    <w:rsid w:val="003156DE"/>
    <w:rsid w:val="0032079B"/>
    <w:rsid w:val="00321CA6"/>
    <w:rsid w:val="00323763"/>
    <w:rsid w:val="00334C09"/>
    <w:rsid w:val="00354BC9"/>
    <w:rsid w:val="0036193C"/>
    <w:rsid w:val="003711D9"/>
    <w:rsid w:val="003723D4"/>
    <w:rsid w:val="0038013B"/>
    <w:rsid w:val="00381905"/>
    <w:rsid w:val="00384CC8"/>
    <w:rsid w:val="003871FD"/>
    <w:rsid w:val="003A07DF"/>
    <w:rsid w:val="003A1E30"/>
    <w:rsid w:val="003A2829"/>
    <w:rsid w:val="003A7D1C"/>
    <w:rsid w:val="003B304B"/>
    <w:rsid w:val="003B3146"/>
    <w:rsid w:val="003B75D1"/>
    <w:rsid w:val="003C7BE7"/>
    <w:rsid w:val="003E0F51"/>
    <w:rsid w:val="003E229D"/>
    <w:rsid w:val="003F015E"/>
    <w:rsid w:val="00400414"/>
    <w:rsid w:val="0041446B"/>
    <w:rsid w:val="00414ED6"/>
    <w:rsid w:val="00434AFD"/>
    <w:rsid w:val="0043533B"/>
    <w:rsid w:val="004372EE"/>
    <w:rsid w:val="0044329C"/>
    <w:rsid w:val="00453E24"/>
    <w:rsid w:val="00457456"/>
    <w:rsid w:val="004577FE"/>
    <w:rsid w:val="00457B9C"/>
    <w:rsid w:val="0046164A"/>
    <w:rsid w:val="004628D2"/>
    <w:rsid w:val="00462DCD"/>
    <w:rsid w:val="004648AD"/>
    <w:rsid w:val="004703A9"/>
    <w:rsid w:val="004760DE"/>
    <w:rsid w:val="004763D7"/>
    <w:rsid w:val="004A004E"/>
    <w:rsid w:val="004A0192"/>
    <w:rsid w:val="004A24CF"/>
    <w:rsid w:val="004B3092"/>
    <w:rsid w:val="004C3D1D"/>
    <w:rsid w:val="004C7913"/>
    <w:rsid w:val="004D41D3"/>
    <w:rsid w:val="004E4DD6"/>
    <w:rsid w:val="004F5E36"/>
    <w:rsid w:val="004F61DD"/>
    <w:rsid w:val="00507B47"/>
    <w:rsid w:val="00507BEF"/>
    <w:rsid w:val="00507CC9"/>
    <w:rsid w:val="005119A5"/>
    <w:rsid w:val="005278B7"/>
    <w:rsid w:val="00532016"/>
    <w:rsid w:val="005346C8"/>
    <w:rsid w:val="00543E7D"/>
    <w:rsid w:val="00547A68"/>
    <w:rsid w:val="005531C9"/>
    <w:rsid w:val="00570C43"/>
    <w:rsid w:val="005844E0"/>
    <w:rsid w:val="005B2110"/>
    <w:rsid w:val="005B61E6"/>
    <w:rsid w:val="005B7D8F"/>
    <w:rsid w:val="005C222B"/>
    <w:rsid w:val="005C77E1"/>
    <w:rsid w:val="005D1CC7"/>
    <w:rsid w:val="005D668A"/>
    <w:rsid w:val="005D6A2F"/>
    <w:rsid w:val="005E1367"/>
    <w:rsid w:val="005E1A82"/>
    <w:rsid w:val="005E31AE"/>
    <w:rsid w:val="005E4424"/>
    <w:rsid w:val="005E794C"/>
    <w:rsid w:val="005F0A28"/>
    <w:rsid w:val="005F0E5E"/>
    <w:rsid w:val="005F4661"/>
    <w:rsid w:val="00600535"/>
    <w:rsid w:val="00610CD6"/>
    <w:rsid w:val="00620945"/>
    <w:rsid w:val="00620DEE"/>
    <w:rsid w:val="00621F92"/>
    <w:rsid w:val="0062280A"/>
    <w:rsid w:val="00625639"/>
    <w:rsid w:val="00631B33"/>
    <w:rsid w:val="00637267"/>
    <w:rsid w:val="0064184D"/>
    <w:rsid w:val="006422CC"/>
    <w:rsid w:val="00652D07"/>
    <w:rsid w:val="0065604C"/>
    <w:rsid w:val="00660E3E"/>
    <w:rsid w:val="00662E74"/>
    <w:rsid w:val="00665323"/>
    <w:rsid w:val="00665F3C"/>
    <w:rsid w:val="00680C23"/>
    <w:rsid w:val="006820EC"/>
    <w:rsid w:val="006824C5"/>
    <w:rsid w:val="00692515"/>
    <w:rsid w:val="00693766"/>
    <w:rsid w:val="006A3281"/>
    <w:rsid w:val="006B4888"/>
    <w:rsid w:val="006B4E68"/>
    <w:rsid w:val="006C2E45"/>
    <w:rsid w:val="006C359C"/>
    <w:rsid w:val="006C5579"/>
    <w:rsid w:val="006D6E8B"/>
    <w:rsid w:val="006E737D"/>
    <w:rsid w:val="006E76D8"/>
    <w:rsid w:val="006F0E4B"/>
    <w:rsid w:val="007042EE"/>
    <w:rsid w:val="00705B2A"/>
    <w:rsid w:val="00713973"/>
    <w:rsid w:val="00720A24"/>
    <w:rsid w:val="00722F4B"/>
    <w:rsid w:val="00732386"/>
    <w:rsid w:val="00733CE5"/>
    <w:rsid w:val="0073514D"/>
    <w:rsid w:val="007447F3"/>
    <w:rsid w:val="0075499F"/>
    <w:rsid w:val="00756404"/>
    <w:rsid w:val="007601A4"/>
    <w:rsid w:val="007661C8"/>
    <w:rsid w:val="0077098D"/>
    <w:rsid w:val="00773EF5"/>
    <w:rsid w:val="00776E5C"/>
    <w:rsid w:val="007931FA"/>
    <w:rsid w:val="00795343"/>
    <w:rsid w:val="007A4861"/>
    <w:rsid w:val="007A7BBA"/>
    <w:rsid w:val="007B0C50"/>
    <w:rsid w:val="007B48F9"/>
    <w:rsid w:val="007C1A43"/>
    <w:rsid w:val="007D435E"/>
    <w:rsid w:val="007E2221"/>
    <w:rsid w:val="007F19FD"/>
    <w:rsid w:val="0080013E"/>
    <w:rsid w:val="00813288"/>
    <w:rsid w:val="008168FC"/>
    <w:rsid w:val="00825DD9"/>
    <w:rsid w:val="00827F85"/>
    <w:rsid w:val="00830996"/>
    <w:rsid w:val="008345F1"/>
    <w:rsid w:val="00850891"/>
    <w:rsid w:val="00865B07"/>
    <w:rsid w:val="008667EA"/>
    <w:rsid w:val="00866C5E"/>
    <w:rsid w:val="00871DEF"/>
    <w:rsid w:val="0087637F"/>
    <w:rsid w:val="00892AD5"/>
    <w:rsid w:val="00894E59"/>
    <w:rsid w:val="008A1512"/>
    <w:rsid w:val="008B194D"/>
    <w:rsid w:val="008C252C"/>
    <w:rsid w:val="008C5675"/>
    <w:rsid w:val="008D32B9"/>
    <w:rsid w:val="008D433B"/>
    <w:rsid w:val="008E331E"/>
    <w:rsid w:val="008E566E"/>
    <w:rsid w:val="0090161A"/>
    <w:rsid w:val="00901EB6"/>
    <w:rsid w:val="00904C62"/>
    <w:rsid w:val="009063B7"/>
    <w:rsid w:val="00922BA8"/>
    <w:rsid w:val="009233E7"/>
    <w:rsid w:val="009235FB"/>
    <w:rsid w:val="00924DAC"/>
    <w:rsid w:val="00927058"/>
    <w:rsid w:val="0094075E"/>
    <w:rsid w:val="00942750"/>
    <w:rsid w:val="009450CE"/>
    <w:rsid w:val="00947179"/>
    <w:rsid w:val="0095164B"/>
    <w:rsid w:val="00954090"/>
    <w:rsid w:val="009573E7"/>
    <w:rsid w:val="0096287F"/>
    <w:rsid w:val="00963E05"/>
    <w:rsid w:val="00967843"/>
    <w:rsid w:val="00967D54"/>
    <w:rsid w:val="00971028"/>
    <w:rsid w:val="009854AA"/>
    <w:rsid w:val="00993B84"/>
    <w:rsid w:val="00996483"/>
    <w:rsid w:val="00996F5A"/>
    <w:rsid w:val="009A1908"/>
    <w:rsid w:val="009B0152"/>
    <w:rsid w:val="009B041A"/>
    <w:rsid w:val="009C37C3"/>
    <w:rsid w:val="009C7C86"/>
    <w:rsid w:val="009D1DD4"/>
    <w:rsid w:val="009D2FF7"/>
    <w:rsid w:val="009D6996"/>
    <w:rsid w:val="009E7884"/>
    <w:rsid w:val="009E788A"/>
    <w:rsid w:val="009F0E08"/>
    <w:rsid w:val="00A05721"/>
    <w:rsid w:val="00A1026F"/>
    <w:rsid w:val="00A1763D"/>
    <w:rsid w:val="00A17CEC"/>
    <w:rsid w:val="00A27EF0"/>
    <w:rsid w:val="00A34362"/>
    <w:rsid w:val="00A42361"/>
    <w:rsid w:val="00A50B20"/>
    <w:rsid w:val="00A51390"/>
    <w:rsid w:val="00A60D13"/>
    <w:rsid w:val="00A72745"/>
    <w:rsid w:val="00A728EB"/>
    <w:rsid w:val="00A76EFC"/>
    <w:rsid w:val="00A81A45"/>
    <w:rsid w:val="00A9025A"/>
    <w:rsid w:val="00A91010"/>
    <w:rsid w:val="00A97434"/>
    <w:rsid w:val="00A97F29"/>
    <w:rsid w:val="00AA702E"/>
    <w:rsid w:val="00AB0964"/>
    <w:rsid w:val="00AB5011"/>
    <w:rsid w:val="00AC7368"/>
    <w:rsid w:val="00AD16B9"/>
    <w:rsid w:val="00AD2A74"/>
    <w:rsid w:val="00AE377D"/>
    <w:rsid w:val="00AE4C34"/>
    <w:rsid w:val="00AF0EBA"/>
    <w:rsid w:val="00B02C8A"/>
    <w:rsid w:val="00B17FBD"/>
    <w:rsid w:val="00B254BE"/>
    <w:rsid w:val="00B315A6"/>
    <w:rsid w:val="00B31813"/>
    <w:rsid w:val="00B33365"/>
    <w:rsid w:val="00B35A0A"/>
    <w:rsid w:val="00B37E11"/>
    <w:rsid w:val="00B42A75"/>
    <w:rsid w:val="00B43A4B"/>
    <w:rsid w:val="00B44B45"/>
    <w:rsid w:val="00B56D90"/>
    <w:rsid w:val="00B57B36"/>
    <w:rsid w:val="00B57E6F"/>
    <w:rsid w:val="00B75E89"/>
    <w:rsid w:val="00B85D82"/>
    <w:rsid w:val="00B8686D"/>
    <w:rsid w:val="00B93F69"/>
    <w:rsid w:val="00BB1DDC"/>
    <w:rsid w:val="00BB2296"/>
    <w:rsid w:val="00BC30C9"/>
    <w:rsid w:val="00BD077D"/>
    <w:rsid w:val="00BE3E58"/>
    <w:rsid w:val="00BE45E9"/>
    <w:rsid w:val="00C01616"/>
    <w:rsid w:val="00C0162B"/>
    <w:rsid w:val="00C068ED"/>
    <w:rsid w:val="00C07B1A"/>
    <w:rsid w:val="00C22E0C"/>
    <w:rsid w:val="00C345B1"/>
    <w:rsid w:val="00C40142"/>
    <w:rsid w:val="00C42FB0"/>
    <w:rsid w:val="00C52C3C"/>
    <w:rsid w:val="00C57182"/>
    <w:rsid w:val="00C57863"/>
    <w:rsid w:val="00C655FD"/>
    <w:rsid w:val="00C71352"/>
    <w:rsid w:val="00C75407"/>
    <w:rsid w:val="00C870A8"/>
    <w:rsid w:val="00C94434"/>
    <w:rsid w:val="00CA0D75"/>
    <w:rsid w:val="00CA1C95"/>
    <w:rsid w:val="00CA5A9C"/>
    <w:rsid w:val="00CA784D"/>
    <w:rsid w:val="00CC4C20"/>
    <w:rsid w:val="00CC5AB2"/>
    <w:rsid w:val="00CD3517"/>
    <w:rsid w:val="00CD4062"/>
    <w:rsid w:val="00CD5FE2"/>
    <w:rsid w:val="00CE2921"/>
    <w:rsid w:val="00CE7C68"/>
    <w:rsid w:val="00D01E77"/>
    <w:rsid w:val="00D02260"/>
    <w:rsid w:val="00D02B4C"/>
    <w:rsid w:val="00D040C4"/>
    <w:rsid w:val="00D21F6B"/>
    <w:rsid w:val="00D278B1"/>
    <w:rsid w:val="00D3000E"/>
    <w:rsid w:val="00D46B7E"/>
    <w:rsid w:val="00D479BA"/>
    <w:rsid w:val="00D57C84"/>
    <w:rsid w:val="00D6057D"/>
    <w:rsid w:val="00D6598F"/>
    <w:rsid w:val="00D71EE2"/>
    <w:rsid w:val="00D836C5"/>
    <w:rsid w:val="00D84576"/>
    <w:rsid w:val="00DA1399"/>
    <w:rsid w:val="00DA24C6"/>
    <w:rsid w:val="00DA4D7B"/>
    <w:rsid w:val="00DB3C8D"/>
    <w:rsid w:val="00DB7D1D"/>
    <w:rsid w:val="00DD4CBF"/>
    <w:rsid w:val="00DD55CF"/>
    <w:rsid w:val="00DE0D88"/>
    <w:rsid w:val="00DE264A"/>
    <w:rsid w:val="00DE2E60"/>
    <w:rsid w:val="00DE5080"/>
    <w:rsid w:val="00DF2623"/>
    <w:rsid w:val="00DF5072"/>
    <w:rsid w:val="00E02D18"/>
    <w:rsid w:val="00E041E7"/>
    <w:rsid w:val="00E055A1"/>
    <w:rsid w:val="00E23CA1"/>
    <w:rsid w:val="00E359B9"/>
    <w:rsid w:val="00E35F55"/>
    <w:rsid w:val="00E409A8"/>
    <w:rsid w:val="00E41330"/>
    <w:rsid w:val="00E45207"/>
    <w:rsid w:val="00E50C12"/>
    <w:rsid w:val="00E51D5F"/>
    <w:rsid w:val="00E6578A"/>
    <w:rsid w:val="00E65B91"/>
    <w:rsid w:val="00E66ACB"/>
    <w:rsid w:val="00E70DDD"/>
    <w:rsid w:val="00E7209D"/>
    <w:rsid w:val="00E72EAD"/>
    <w:rsid w:val="00E77223"/>
    <w:rsid w:val="00E82E85"/>
    <w:rsid w:val="00E8528B"/>
    <w:rsid w:val="00E85B94"/>
    <w:rsid w:val="00E86603"/>
    <w:rsid w:val="00E91FE2"/>
    <w:rsid w:val="00E978D0"/>
    <w:rsid w:val="00EA4613"/>
    <w:rsid w:val="00EA7F91"/>
    <w:rsid w:val="00EB1523"/>
    <w:rsid w:val="00EC0E49"/>
    <w:rsid w:val="00EC101F"/>
    <w:rsid w:val="00EC1D9F"/>
    <w:rsid w:val="00ED1F02"/>
    <w:rsid w:val="00EE0131"/>
    <w:rsid w:val="00EE17B0"/>
    <w:rsid w:val="00EF06D9"/>
    <w:rsid w:val="00EF50E7"/>
    <w:rsid w:val="00F01D94"/>
    <w:rsid w:val="00F10996"/>
    <w:rsid w:val="00F30C64"/>
    <w:rsid w:val="00F32BA2"/>
    <w:rsid w:val="00F32CDB"/>
    <w:rsid w:val="00F35418"/>
    <w:rsid w:val="00F5277F"/>
    <w:rsid w:val="00F565FE"/>
    <w:rsid w:val="00F63A70"/>
    <w:rsid w:val="00F7534E"/>
    <w:rsid w:val="00F85CA1"/>
    <w:rsid w:val="00FA21D0"/>
    <w:rsid w:val="00FA5F5F"/>
    <w:rsid w:val="00FB730C"/>
    <w:rsid w:val="00FC1827"/>
    <w:rsid w:val="00FC2695"/>
    <w:rsid w:val="00FC3E03"/>
    <w:rsid w:val="00FC3FC1"/>
    <w:rsid w:val="00FC6DB7"/>
    <w:rsid w:val="00FD667C"/>
    <w:rsid w:val="00FF4D3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FC64-DEFD-4117-8AC5-65298C1E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3670</Words>
  <Characters>20920</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Pc-Gio</cp:lastModifiedBy>
  <cp:revision>28</cp:revision>
  <cp:lastPrinted>2015-05-12T18:31:00Z</cp:lastPrinted>
  <dcterms:created xsi:type="dcterms:W3CDTF">2024-05-20T20:15:00Z</dcterms:created>
  <dcterms:modified xsi:type="dcterms:W3CDTF">2024-05-22T20:31:00Z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